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837" w:rsidRDefault="00362837" w:rsidP="006778CB">
      <w:pPr>
        <w:jc w:val="both"/>
      </w:pPr>
    </w:p>
    <w:p w:rsidR="00B13AEF" w:rsidRDefault="00B13AEF" w:rsidP="006778CB">
      <w:pPr>
        <w:jc w:val="both"/>
      </w:pPr>
    </w:p>
    <w:p w:rsidR="00B13AEF" w:rsidRDefault="00B13AEF" w:rsidP="006778CB">
      <w:pPr>
        <w:jc w:val="both"/>
      </w:pPr>
    </w:p>
    <w:p w:rsidR="00B66957" w:rsidRDefault="00B66957" w:rsidP="006778CB">
      <w:pPr>
        <w:jc w:val="both"/>
        <w:rPr>
          <w:b/>
          <w:sz w:val="24"/>
        </w:rPr>
      </w:pPr>
    </w:p>
    <w:p w:rsidR="00B66957" w:rsidRDefault="00B66957" w:rsidP="006778CB">
      <w:pPr>
        <w:jc w:val="both"/>
        <w:rPr>
          <w:b/>
          <w:sz w:val="24"/>
        </w:rPr>
      </w:pPr>
    </w:p>
    <w:p w:rsidR="00B66957" w:rsidRDefault="00B66957" w:rsidP="006778CB">
      <w:pPr>
        <w:jc w:val="both"/>
        <w:rPr>
          <w:b/>
          <w:sz w:val="24"/>
        </w:rPr>
      </w:pPr>
    </w:p>
    <w:p w:rsidR="00B66957" w:rsidRDefault="00B66957" w:rsidP="006778CB">
      <w:pPr>
        <w:jc w:val="center"/>
        <w:rPr>
          <w:b/>
          <w:sz w:val="24"/>
        </w:rPr>
      </w:pPr>
    </w:p>
    <w:p w:rsidR="00B13AEF" w:rsidRPr="00B13AEF" w:rsidRDefault="00B13AEF" w:rsidP="006778CB">
      <w:pPr>
        <w:jc w:val="center"/>
        <w:rPr>
          <w:b/>
          <w:sz w:val="24"/>
        </w:rPr>
      </w:pPr>
      <w:r w:rsidRPr="00B13AEF">
        <w:rPr>
          <w:b/>
          <w:sz w:val="24"/>
        </w:rPr>
        <w:t>TERMES DE RÉFÉRENCES</w:t>
      </w:r>
    </w:p>
    <w:p w:rsidR="00B13AEF" w:rsidRDefault="00B13AEF" w:rsidP="006778CB">
      <w:pPr>
        <w:jc w:val="center"/>
      </w:pPr>
      <w:r>
        <w:t>Evaluation à mi-parcours du programme DGD 2022-2026 :</w:t>
      </w:r>
    </w:p>
    <w:p w:rsidR="00B13AEF" w:rsidRDefault="00B13AEF" w:rsidP="006778CB">
      <w:pPr>
        <w:jc w:val="center"/>
      </w:pPr>
    </w:p>
    <w:p w:rsidR="00B13AEF" w:rsidRDefault="00B13AEF" w:rsidP="006778CB">
      <w:pPr>
        <w:ind w:left="709" w:right="850"/>
        <w:jc w:val="center"/>
      </w:pPr>
      <w:r>
        <w:t>« Programme d’éducation populaire pour le respect des droits des citoyennes et citoyens des 4 districts de la Ville de Kinshasa, en particulier des personnes les plus vulnérables : les femmes, les enfants et les personnes LGBTQI »</w:t>
      </w:r>
    </w:p>
    <w:p w:rsidR="00B13AEF" w:rsidRDefault="00B13AEF" w:rsidP="006778CB">
      <w:pPr>
        <w:ind w:left="709" w:right="850"/>
        <w:jc w:val="both"/>
      </w:pPr>
    </w:p>
    <w:p w:rsidR="00B13AEF" w:rsidRDefault="00B13AEF" w:rsidP="006778CB">
      <w:pPr>
        <w:ind w:left="709" w:right="850"/>
        <w:jc w:val="both"/>
      </w:pPr>
    </w:p>
    <w:p w:rsidR="00B13AEF" w:rsidRDefault="00B13AEF" w:rsidP="006778CB">
      <w:pPr>
        <w:ind w:left="709" w:right="850"/>
        <w:jc w:val="both"/>
      </w:pPr>
    </w:p>
    <w:p w:rsidR="00B13AEF" w:rsidRDefault="00B13AEF" w:rsidP="006778CB">
      <w:pPr>
        <w:ind w:left="709" w:right="850"/>
        <w:jc w:val="both"/>
      </w:pPr>
    </w:p>
    <w:p w:rsidR="00B13AEF" w:rsidRDefault="00B13AEF" w:rsidP="006778CB">
      <w:pPr>
        <w:ind w:left="709" w:right="850"/>
        <w:jc w:val="both"/>
      </w:pPr>
    </w:p>
    <w:p w:rsidR="00B13AEF" w:rsidRDefault="00B13AEF" w:rsidP="006778CB">
      <w:pPr>
        <w:ind w:left="709" w:right="850"/>
        <w:jc w:val="both"/>
      </w:pPr>
    </w:p>
    <w:p w:rsidR="00B13AEF" w:rsidRDefault="00B13AEF" w:rsidP="006778CB">
      <w:pPr>
        <w:ind w:left="709" w:right="850"/>
        <w:jc w:val="both"/>
      </w:pPr>
    </w:p>
    <w:p w:rsidR="00B13AEF" w:rsidRDefault="00B13AEF" w:rsidP="006778CB">
      <w:pPr>
        <w:jc w:val="both"/>
      </w:pPr>
      <w:r>
        <w:br w:type="page"/>
      </w:r>
    </w:p>
    <w:sdt>
      <w:sdtPr>
        <w:rPr>
          <w:rFonts w:asciiTheme="minorHAnsi" w:eastAsiaTheme="minorHAnsi" w:hAnsiTheme="minorHAnsi" w:cstheme="minorBidi"/>
          <w:color w:val="auto"/>
          <w:sz w:val="22"/>
          <w:szCs w:val="22"/>
          <w:lang w:val="fr-FR" w:eastAsia="en-US"/>
        </w:rPr>
        <w:id w:val="-281726855"/>
        <w:docPartObj>
          <w:docPartGallery w:val="Table of Contents"/>
          <w:docPartUnique/>
        </w:docPartObj>
      </w:sdtPr>
      <w:sdtEndPr>
        <w:rPr>
          <w:b/>
          <w:bCs/>
        </w:rPr>
      </w:sdtEndPr>
      <w:sdtContent>
        <w:p w:rsidR="00B13AEF" w:rsidRDefault="00B13AEF" w:rsidP="006778CB">
          <w:pPr>
            <w:pStyle w:val="En-ttedetabledesmatires"/>
            <w:jc w:val="both"/>
          </w:pPr>
          <w:r>
            <w:rPr>
              <w:lang w:val="fr-FR"/>
            </w:rPr>
            <w:t>Table des matières</w:t>
          </w:r>
        </w:p>
        <w:p w:rsidR="005F342B" w:rsidRDefault="00B13AEF">
          <w:pPr>
            <w:pStyle w:val="TM1"/>
            <w:tabs>
              <w:tab w:val="right" w:leader="dot" w:pos="9063"/>
            </w:tabs>
            <w:rPr>
              <w:rFonts w:eastAsiaTheme="minorEastAsia"/>
              <w:noProof/>
              <w:lang w:eastAsia="fr-BE"/>
            </w:rPr>
          </w:pPr>
          <w:r>
            <w:fldChar w:fldCharType="begin"/>
          </w:r>
          <w:r>
            <w:instrText xml:space="preserve"> TOC \o "1-3" \h \z \u </w:instrText>
          </w:r>
          <w:r>
            <w:fldChar w:fldCharType="separate"/>
          </w:r>
          <w:hyperlink w:anchor="_Toc174543399" w:history="1">
            <w:r w:rsidR="005F342B" w:rsidRPr="00712F1E">
              <w:rPr>
                <w:rStyle w:val="Lienhypertexte"/>
                <w:noProof/>
              </w:rPr>
              <w:t>Contexte de l’évaluation</w:t>
            </w:r>
            <w:r w:rsidR="005F342B">
              <w:rPr>
                <w:noProof/>
                <w:webHidden/>
              </w:rPr>
              <w:tab/>
            </w:r>
            <w:r w:rsidR="005F342B">
              <w:rPr>
                <w:noProof/>
                <w:webHidden/>
              </w:rPr>
              <w:fldChar w:fldCharType="begin"/>
            </w:r>
            <w:r w:rsidR="005F342B">
              <w:rPr>
                <w:noProof/>
                <w:webHidden/>
              </w:rPr>
              <w:instrText xml:space="preserve"> PAGEREF _Toc174543399 \h </w:instrText>
            </w:r>
            <w:r w:rsidR="005F342B">
              <w:rPr>
                <w:noProof/>
                <w:webHidden/>
              </w:rPr>
            </w:r>
            <w:r w:rsidR="005F342B">
              <w:rPr>
                <w:noProof/>
                <w:webHidden/>
              </w:rPr>
              <w:fldChar w:fldCharType="separate"/>
            </w:r>
            <w:r w:rsidR="005F342B">
              <w:rPr>
                <w:noProof/>
                <w:webHidden/>
              </w:rPr>
              <w:t>3</w:t>
            </w:r>
            <w:r w:rsidR="005F342B">
              <w:rPr>
                <w:noProof/>
                <w:webHidden/>
              </w:rPr>
              <w:fldChar w:fldCharType="end"/>
            </w:r>
          </w:hyperlink>
        </w:p>
        <w:p w:rsidR="005F342B" w:rsidRDefault="00994345">
          <w:pPr>
            <w:pStyle w:val="TM2"/>
            <w:tabs>
              <w:tab w:val="left" w:pos="880"/>
              <w:tab w:val="right" w:leader="dot" w:pos="9063"/>
            </w:tabs>
            <w:rPr>
              <w:rFonts w:eastAsiaTheme="minorEastAsia"/>
              <w:noProof/>
              <w:lang w:eastAsia="fr-BE"/>
            </w:rPr>
          </w:pPr>
          <w:hyperlink w:anchor="_Toc174543400" w:history="1">
            <w:r w:rsidR="005F342B" w:rsidRPr="00712F1E">
              <w:rPr>
                <w:rStyle w:val="Lienhypertexte"/>
                <w:noProof/>
              </w:rPr>
              <w:t>1.1.</w:t>
            </w:r>
            <w:r w:rsidR="005F342B">
              <w:rPr>
                <w:rFonts w:eastAsiaTheme="minorEastAsia"/>
                <w:noProof/>
                <w:lang w:eastAsia="fr-BE"/>
              </w:rPr>
              <w:tab/>
            </w:r>
            <w:r w:rsidR="005F342B" w:rsidRPr="00712F1E">
              <w:rPr>
                <w:rStyle w:val="Lienhypertexte"/>
                <w:noProof/>
              </w:rPr>
              <w:t>Présentation de l’ONG</w:t>
            </w:r>
            <w:r w:rsidR="005F342B">
              <w:rPr>
                <w:noProof/>
                <w:webHidden/>
              </w:rPr>
              <w:tab/>
            </w:r>
            <w:r w:rsidR="005F342B">
              <w:rPr>
                <w:noProof/>
                <w:webHidden/>
              </w:rPr>
              <w:fldChar w:fldCharType="begin"/>
            </w:r>
            <w:r w:rsidR="005F342B">
              <w:rPr>
                <w:noProof/>
                <w:webHidden/>
              </w:rPr>
              <w:instrText xml:space="preserve"> PAGEREF _Toc174543400 \h </w:instrText>
            </w:r>
            <w:r w:rsidR="005F342B">
              <w:rPr>
                <w:noProof/>
                <w:webHidden/>
              </w:rPr>
            </w:r>
            <w:r w:rsidR="005F342B">
              <w:rPr>
                <w:noProof/>
                <w:webHidden/>
              </w:rPr>
              <w:fldChar w:fldCharType="separate"/>
            </w:r>
            <w:r w:rsidR="005F342B">
              <w:rPr>
                <w:noProof/>
                <w:webHidden/>
              </w:rPr>
              <w:t>3</w:t>
            </w:r>
            <w:r w:rsidR="005F342B">
              <w:rPr>
                <w:noProof/>
                <w:webHidden/>
              </w:rPr>
              <w:fldChar w:fldCharType="end"/>
            </w:r>
          </w:hyperlink>
        </w:p>
        <w:p w:rsidR="005F342B" w:rsidRDefault="00994345">
          <w:pPr>
            <w:pStyle w:val="TM2"/>
            <w:tabs>
              <w:tab w:val="left" w:pos="880"/>
              <w:tab w:val="right" w:leader="dot" w:pos="9063"/>
            </w:tabs>
            <w:rPr>
              <w:rFonts w:eastAsiaTheme="minorEastAsia"/>
              <w:noProof/>
              <w:lang w:eastAsia="fr-BE"/>
            </w:rPr>
          </w:pPr>
          <w:hyperlink w:anchor="_Toc174543401" w:history="1">
            <w:r w:rsidR="005F342B" w:rsidRPr="00712F1E">
              <w:rPr>
                <w:rStyle w:val="Lienhypertexte"/>
                <w:noProof/>
              </w:rPr>
              <w:t>1.2.</w:t>
            </w:r>
            <w:r w:rsidR="005F342B">
              <w:rPr>
                <w:rFonts w:eastAsiaTheme="minorEastAsia"/>
                <w:noProof/>
                <w:lang w:eastAsia="fr-BE"/>
              </w:rPr>
              <w:tab/>
            </w:r>
            <w:r w:rsidR="005F342B" w:rsidRPr="00712F1E">
              <w:rPr>
                <w:rStyle w:val="Lienhypertexte"/>
                <w:noProof/>
              </w:rPr>
              <w:t>Le programme quinquennal 2022-2026 de LHAC</w:t>
            </w:r>
            <w:r w:rsidR="005F342B">
              <w:rPr>
                <w:noProof/>
                <w:webHidden/>
              </w:rPr>
              <w:tab/>
            </w:r>
            <w:r w:rsidR="005F342B">
              <w:rPr>
                <w:noProof/>
                <w:webHidden/>
              </w:rPr>
              <w:fldChar w:fldCharType="begin"/>
            </w:r>
            <w:r w:rsidR="005F342B">
              <w:rPr>
                <w:noProof/>
                <w:webHidden/>
              </w:rPr>
              <w:instrText xml:space="preserve"> PAGEREF _Toc174543401 \h </w:instrText>
            </w:r>
            <w:r w:rsidR="005F342B">
              <w:rPr>
                <w:noProof/>
                <w:webHidden/>
              </w:rPr>
            </w:r>
            <w:r w:rsidR="005F342B">
              <w:rPr>
                <w:noProof/>
                <w:webHidden/>
              </w:rPr>
              <w:fldChar w:fldCharType="separate"/>
            </w:r>
            <w:r w:rsidR="005F342B">
              <w:rPr>
                <w:noProof/>
                <w:webHidden/>
              </w:rPr>
              <w:t>4</w:t>
            </w:r>
            <w:r w:rsidR="005F342B">
              <w:rPr>
                <w:noProof/>
                <w:webHidden/>
              </w:rPr>
              <w:fldChar w:fldCharType="end"/>
            </w:r>
          </w:hyperlink>
        </w:p>
        <w:p w:rsidR="005F342B" w:rsidRDefault="00994345">
          <w:pPr>
            <w:pStyle w:val="TM2"/>
            <w:tabs>
              <w:tab w:val="left" w:pos="880"/>
              <w:tab w:val="right" w:leader="dot" w:pos="9063"/>
            </w:tabs>
            <w:rPr>
              <w:rFonts w:eastAsiaTheme="minorEastAsia"/>
              <w:noProof/>
              <w:lang w:eastAsia="fr-BE"/>
            </w:rPr>
          </w:pPr>
          <w:hyperlink w:anchor="_Toc174543402" w:history="1">
            <w:r w:rsidR="005F342B" w:rsidRPr="00712F1E">
              <w:rPr>
                <w:rStyle w:val="Lienhypertexte"/>
                <w:rFonts w:eastAsia="Calibri"/>
                <w:noProof/>
              </w:rPr>
              <w:t>1.3.</w:t>
            </w:r>
            <w:r w:rsidR="005F342B">
              <w:rPr>
                <w:rFonts w:eastAsiaTheme="minorEastAsia"/>
                <w:noProof/>
                <w:lang w:eastAsia="fr-BE"/>
              </w:rPr>
              <w:tab/>
            </w:r>
            <w:r w:rsidR="005F342B" w:rsidRPr="00712F1E">
              <w:rPr>
                <w:rStyle w:val="Lienhypertexte"/>
                <w:rFonts w:eastAsia="Calibri"/>
                <w:noProof/>
              </w:rPr>
              <w:t>Description de l’outcome</w:t>
            </w:r>
            <w:r w:rsidR="005F342B">
              <w:rPr>
                <w:noProof/>
                <w:webHidden/>
              </w:rPr>
              <w:tab/>
            </w:r>
            <w:r w:rsidR="005F342B">
              <w:rPr>
                <w:noProof/>
                <w:webHidden/>
              </w:rPr>
              <w:fldChar w:fldCharType="begin"/>
            </w:r>
            <w:r w:rsidR="005F342B">
              <w:rPr>
                <w:noProof/>
                <w:webHidden/>
              </w:rPr>
              <w:instrText xml:space="preserve"> PAGEREF _Toc174543402 \h </w:instrText>
            </w:r>
            <w:r w:rsidR="005F342B">
              <w:rPr>
                <w:noProof/>
                <w:webHidden/>
              </w:rPr>
            </w:r>
            <w:r w:rsidR="005F342B">
              <w:rPr>
                <w:noProof/>
                <w:webHidden/>
              </w:rPr>
              <w:fldChar w:fldCharType="separate"/>
            </w:r>
            <w:r w:rsidR="005F342B">
              <w:rPr>
                <w:noProof/>
                <w:webHidden/>
              </w:rPr>
              <w:t>4</w:t>
            </w:r>
            <w:r w:rsidR="005F342B">
              <w:rPr>
                <w:noProof/>
                <w:webHidden/>
              </w:rPr>
              <w:fldChar w:fldCharType="end"/>
            </w:r>
          </w:hyperlink>
        </w:p>
        <w:p w:rsidR="005F342B" w:rsidRDefault="00994345">
          <w:pPr>
            <w:pStyle w:val="TM1"/>
            <w:tabs>
              <w:tab w:val="right" w:leader="dot" w:pos="9063"/>
            </w:tabs>
            <w:rPr>
              <w:rFonts w:eastAsiaTheme="minorEastAsia"/>
              <w:noProof/>
              <w:lang w:eastAsia="fr-BE"/>
            </w:rPr>
          </w:pPr>
          <w:hyperlink w:anchor="_Toc174543403" w:history="1">
            <w:r w:rsidR="005F342B" w:rsidRPr="00712F1E">
              <w:rPr>
                <w:rStyle w:val="Lienhypertexte"/>
                <w:rFonts w:eastAsia="Calibri"/>
                <w:noProof/>
              </w:rPr>
              <w:t>Enjeux de l’évaluation mi-parcours</w:t>
            </w:r>
            <w:r w:rsidR="005F342B">
              <w:rPr>
                <w:noProof/>
                <w:webHidden/>
              </w:rPr>
              <w:tab/>
            </w:r>
            <w:r w:rsidR="005F342B">
              <w:rPr>
                <w:noProof/>
                <w:webHidden/>
              </w:rPr>
              <w:fldChar w:fldCharType="begin"/>
            </w:r>
            <w:r w:rsidR="005F342B">
              <w:rPr>
                <w:noProof/>
                <w:webHidden/>
              </w:rPr>
              <w:instrText xml:space="preserve"> PAGEREF _Toc174543403 \h </w:instrText>
            </w:r>
            <w:r w:rsidR="005F342B">
              <w:rPr>
                <w:noProof/>
                <w:webHidden/>
              </w:rPr>
            </w:r>
            <w:r w:rsidR="005F342B">
              <w:rPr>
                <w:noProof/>
                <w:webHidden/>
              </w:rPr>
              <w:fldChar w:fldCharType="separate"/>
            </w:r>
            <w:r w:rsidR="005F342B">
              <w:rPr>
                <w:noProof/>
                <w:webHidden/>
              </w:rPr>
              <w:t>5</w:t>
            </w:r>
            <w:r w:rsidR="005F342B">
              <w:rPr>
                <w:noProof/>
                <w:webHidden/>
              </w:rPr>
              <w:fldChar w:fldCharType="end"/>
            </w:r>
          </w:hyperlink>
        </w:p>
        <w:p w:rsidR="005F342B" w:rsidRDefault="00994345">
          <w:pPr>
            <w:pStyle w:val="TM2"/>
            <w:tabs>
              <w:tab w:val="right" w:leader="dot" w:pos="9063"/>
            </w:tabs>
            <w:rPr>
              <w:rFonts w:eastAsiaTheme="minorEastAsia"/>
              <w:noProof/>
              <w:lang w:eastAsia="fr-BE"/>
            </w:rPr>
          </w:pPr>
          <w:hyperlink w:anchor="_Toc174543404" w:history="1">
            <w:r w:rsidR="005F342B" w:rsidRPr="00712F1E">
              <w:rPr>
                <w:rStyle w:val="Lienhypertexte"/>
                <w:rFonts w:eastAsia="Calibri"/>
                <w:noProof/>
              </w:rPr>
              <w:t>2.1. Justification</w:t>
            </w:r>
            <w:r w:rsidR="005F342B">
              <w:rPr>
                <w:noProof/>
                <w:webHidden/>
              </w:rPr>
              <w:tab/>
            </w:r>
            <w:r w:rsidR="005F342B">
              <w:rPr>
                <w:noProof/>
                <w:webHidden/>
              </w:rPr>
              <w:fldChar w:fldCharType="begin"/>
            </w:r>
            <w:r w:rsidR="005F342B">
              <w:rPr>
                <w:noProof/>
                <w:webHidden/>
              </w:rPr>
              <w:instrText xml:space="preserve"> PAGEREF _Toc174543404 \h </w:instrText>
            </w:r>
            <w:r w:rsidR="005F342B">
              <w:rPr>
                <w:noProof/>
                <w:webHidden/>
              </w:rPr>
            </w:r>
            <w:r w:rsidR="005F342B">
              <w:rPr>
                <w:noProof/>
                <w:webHidden/>
              </w:rPr>
              <w:fldChar w:fldCharType="separate"/>
            </w:r>
            <w:r w:rsidR="005F342B">
              <w:rPr>
                <w:noProof/>
                <w:webHidden/>
              </w:rPr>
              <w:t>5</w:t>
            </w:r>
            <w:r w:rsidR="005F342B">
              <w:rPr>
                <w:noProof/>
                <w:webHidden/>
              </w:rPr>
              <w:fldChar w:fldCharType="end"/>
            </w:r>
          </w:hyperlink>
        </w:p>
        <w:p w:rsidR="005F342B" w:rsidRDefault="00994345">
          <w:pPr>
            <w:pStyle w:val="TM2"/>
            <w:tabs>
              <w:tab w:val="right" w:leader="dot" w:pos="9063"/>
            </w:tabs>
            <w:rPr>
              <w:rFonts w:eastAsiaTheme="minorEastAsia"/>
              <w:noProof/>
              <w:lang w:eastAsia="fr-BE"/>
            </w:rPr>
          </w:pPr>
          <w:hyperlink w:anchor="_Toc174543405" w:history="1">
            <w:r w:rsidR="005F342B" w:rsidRPr="00712F1E">
              <w:rPr>
                <w:rStyle w:val="Lienhypertexte"/>
                <w:rFonts w:eastAsia="Calibri"/>
                <w:noProof/>
              </w:rPr>
              <w:t>2.3. Destinataires</w:t>
            </w:r>
            <w:r w:rsidR="005F342B">
              <w:rPr>
                <w:noProof/>
                <w:webHidden/>
              </w:rPr>
              <w:tab/>
            </w:r>
            <w:r w:rsidR="005F342B">
              <w:rPr>
                <w:noProof/>
                <w:webHidden/>
              </w:rPr>
              <w:fldChar w:fldCharType="begin"/>
            </w:r>
            <w:r w:rsidR="005F342B">
              <w:rPr>
                <w:noProof/>
                <w:webHidden/>
              </w:rPr>
              <w:instrText xml:space="preserve"> PAGEREF _Toc174543405 \h </w:instrText>
            </w:r>
            <w:r w:rsidR="005F342B">
              <w:rPr>
                <w:noProof/>
                <w:webHidden/>
              </w:rPr>
            </w:r>
            <w:r w:rsidR="005F342B">
              <w:rPr>
                <w:noProof/>
                <w:webHidden/>
              </w:rPr>
              <w:fldChar w:fldCharType="separate"/>
            </w:r>
            <w:r w:rsidR="005F342B">
              <w:rPr>
                <w:noProof/>
                <w:webHidden/>
              </w:rPr>
              <w:t>5</w:t>
            </w:r>
            <w:r w:rsidR="005F342B">
              <w:rPr>
                <w:noProof/>
                <w:webHidden/>
              </w:rPr>
              <w:fldChar w:fldCharType="end"/>
            </w:r>
          </w:hyperlink>
        </w:p>
        <w:p w:rsidR="005F342B" w:rsidRDefault="00994345">
          <w:pPr>
            <w:pStyle w:val="TM1"/>
            <w:tabs>
              <w:tab w:val="right" w:leader="dot" w:pos="9063"/>
            </w:tabs>
            <w:rPr>
              <w:rFonts w:eastAsiaTheme="minorEastAsia"/>
              <w:noProof/>
              <w:lang w:eastAsia="fr-BE"/>
            </w:rPr>
          </w:pPr>
          <w:hyperlink w:anchor="_Toc174543406" w:history="1">
            <w:r w:rsidR="005F342B" w:rsidRPr="00712F1E">
              <w:rPr>
                <w:rStyle w:val="Lienhypertexte"/>
                <w:rFonts w:eastAsia="Calibri"/>
                <w:noProof/>
              </w:rPr>
              <w:t>Contenu, méthodologie et pilotage</w:t>
            </w:r>
            <w:r w:rsidR="005F342B">
              <w:rPr>
                <w:noProof/>
                <w:webHidden/>
              </w:rPr>
              <w:tab/>
            </w:r>
            <w:r w:rsidR="005F342B">
              <w:rPr>
                <w:noProof/>
                <w:webHidden/>
              </w:rPr>
              <w:fldChar w:fldCharType="begin"/>
            </w:r>
            <w:r w:rsidR="005F342B">
              <w:rPr>
                <w:noProof/>
                <w:webHidden/>
              </w:rPr>
              <w:instrText xml:space="preserve"> PAGEREF _Toc174543406 \h </w:instrText>
            </w:r>
            <w:r w:rsidR="005F342B">
              <w:rPr>
                <w:noProof/>
                <w:webHidden/>
              </w:rPr>
            </w:r>
            <w:r w:rsidR="005F342B">
              <w:rPr>
                <w:noProof/>
                <w:webHidden/>
              </w:rPr>
              <w:fldChar w:fldCharType="separate"/>
            </w:r>
            <w:r w:rsidR="005F342B">
              <w:rPr>
                <w:noProof/>
                <w:webHidden/>
              </w:rPr>
              <w:t>6</w:t>
            </w:r>
            <w:r w:rsidR="005F342B">
              <w:rPr>
                <w:noProof/>
                <w:webHidden/>
              </w:rPr>
              <w:fldChar w:fldCharType="end"/>
            </w:r>
          </w:hyperlink>
        </w:p>
        <w:p w:rsidR="005F342B" w:rsidRDefault="00994345">
          <w:pPr>
            <w:pStyle w:val="TM2"/>
            <w:tabs>
              <w:tab w:val="right" w:leader="dot" w:pos="9063"/>
            </w:tabs>
            <w:rPr>
              <w:rFonts w:eastAsiaTheme="minorEastAsia"/>
              <w:noProof/>
              <w:lang w:eastAsia="fr-BE"/>
            </w:rPr>
          </w:pPr>
          <w:hyperlink w:anchor="_Toc174543407" w:history="1">
            <w:r w:rsidR="005F342B" w:rsidRPr="00712F1E">
              <w:rPr>
                <w:rStyle w:val="Lienhypertexte"/>
                <w:rFonts w:eastAsia="Calibri"/>
                <w:noProof/>
              </w:rPr>
              <w:t>3.1. Questions évaluatives</w:t>
            </w:r>
            <w:r w:rsidR="005F342B">
              <w:rPr>
                <w:noProof/>
                <w:webHidden/>
              </w:rPr>
              <w:tab/>
            </w:r>
            <w:r w:rsidR="005F342B">
              <w:rPr>
                <w:noProof/>
                <w:webHidden/>
              </w:rPr>
              <w:fldChar w:fldCharType="begin"/>
            </w:r>
            <w:r w:rsidR="005F342B">
              <w:rPr>
                <w:noProof/>
                <w:webHidden/>
              </w:rPr>
              <w:instrText xml:space="preserve"> PAGEREF _Toc174543407 \h </w:instrText>
            </w:r>
            <w:r w:rsidR="005F342B">
              <w:rPr>
                <w:noProof/>
                <w:webHidden/>
              </w:rPr>
            </w:r>
            <w:r w:rsidR="005F342B">
              <w:rPr>
                <w:noProof/>
                <w:webHidden/>
              </w:rPr>
              <w:fldChar w:fldCharType="separate"/>
            </w:r>
            <w:r w:rsidR="005F342B">
              <w:rPr>
                <w:noProof/>
                <w:webHidden/>
              </w:rPr>
              <w:t>6</w:t>
            </w:r>
            <w:r w:rsidR="005F342B">
              <w:rPr>
                <w:noProof/>
                <w:webHidden/>
              </w:rPr>
              <w:fldChar w:fldCharType="end"/>
            </w:r>
          </w:hyperlink>
        </w:p>
        <w:p w:rsidR="005F342B" w:rsidRDefault="00994345">
          <w:pPr>
            <w:pStyle w:val="TM2"/>
            <w:tabs>
              <w:tab w:val="right" w:leader="dot" w:pos="9063"/>
            </w:tabs>
            <w:rPr>
              <w:rFonts w:eastAsiaTheme="minorEastAsia"/>
              <w:noProof/>
              <w:lang w:eastAsia="fr-BE"/>
            </w:rPr>
          </w:pPr>
          <w:hyperlink w:anchor="_Toc174543408" w:history="1">
            <w:r w:rsidR="005F342B" w:rsidRPr="00712F1E">
              <w:rPr>
                <w:rStyle w:val="Lienhypertexte"/>
                <w:rFonts w:eastAsia="Calibri"/>
                <w:noProof/>
              </w:rPr>
              <w:t>3.2. Méthodologie</w:t>
            </w:r>
            <w:r w:rsidR="005F342B">
              <w:rPr>
                <w:noProof/>
                <w:webHidden/>
              </w:rPr>
              <w:tab/>
            </w:r>
            <w:r w:rsidR="005F342B">
              <w:rPr>
                <w:noProof/>
                <w:webHidden/>
              </w:rPr>
              <w:fldChar w:fldCharType="begin"/>
            </w:r>
            <w:r w:rsidR="005F342B">
              <w:rPr>
                <w:noProof/>
                <w:webHidden/>
              </w:rPr>
              <w:instrText xml:space="preserve"> PAGEREF _Toc174543408 \h </w:instrText>
            </w:r>
            <w:r w:rsidR="005F342B">
              <w:rPr>
                <w:noProof/>
                <w:webHidden/>
              </w:rPr>
            </w:r>
            <w:r w:rsidR="005F342B">
              <w:rPr>
                <w:noProof/>
                <w:webHidden/>
              </w:rPr>
              <w:fldChar w:fldCharType="separate"/>
            </w:r>
            <w:r w:rsidR="005F342B">
              <w:rPr>
                <w:noProof/>
                <w:webHidden/>
              </w:rPr>
              <w:t>7</w:t>
            </w:r>
            <w:r w:rsidR="005F342B">
              <w:rPr>
                <w:noProof/>
                <w:webHidden/>
              </w:rPr>
              <w:fldChar w:fldCharType="end"/>
            </w:r>
          </w:hyperlink>
        </w:p>
        <w:p w:rsidR="005F342B" w:rsidRDefault="00994345">
          <w:pPr>
            <w:pStyle w:val="TM2"/>
            <w:tabs>
              <w:tab w:val="right" w:leader="dot" w:pos="9063"/>
            </w:tabs>
            <w:rPr>
              <w:rFonts w:eastAsiaTheme="minorEastAsia"/>
              <w:noProof/>
              <w:lang w:eastAsia="fr-BE"/>
            </w:rPr>
          </w:pPr>
          <w:hyperlink w:anchor="_Toc174543409" w:history="1">
            <w:r w:rsidR="005F342B" w:rsidRPr="00712F1E">
              <w:rPr>
                <w:rStyle w:val="Lienhypertexte"/>
                <w:noProof/>
              </w:rPr>
              <w:t>3.3. Pilotage</w:t>
            </w:r>
            <w:r w:rsidR="005F342B">
              <w:rPr>
                <w:noProof/>
                <w:webHidden/>
              </w:rPr>
              <w:tab/>
            </w:r>
            <w:r w:rsidR="005F342B">
              <w:rPr>
                <w:noProof/>
                <w:webHidden/>
              </w:rPr>
              <w:fldChar w:fldCharType="begin"/>
            </w:r>
            <w:r w:rsidR="005F342B">
              <w:rPr>
                <w:noProof/>
                <w:webHidden/>
              </w:rPr>
              <w:instrText xml:space="preserve"> PAGEREF _Toc174543409 \h </w:instrText>
            </w:r>
            <w:r w:rsidR="005F342B">
              <w:rPr>
                <w:noProof/>
                <w:webHidden/>
              </w:rPr>
            </w:r>
            <w:r w:rsidR="005F342B">
              <w:rPr>
                <w:noProof/>
                <w:webHidden/>
              </w:rPr>
              <w:fldChar w:fldCharType="separate"/>
            </w:r>
            <w:r w:rsidR="005F342B">
              <w:rPr>
                <w:noProof/>
                <w:webHidden/>
              </w:rPr>
              <w:t>7</w:t>
            </w:r>
            <w:r w:rsidR="005F342B">
              <w:rPr>
                <w:noProof/>
                <w:webHidden/>
              </w:rPr>
              <w:fldChar w:fldCharType="end"/>
            </w:r>
          </w:hyperlink>
        </w:p>
        <w:p w:rsidR="005F342B" w:rsidRDefault="00994345">
          <w:pPr>
            <w:pStyle w:val="TM1"/>
            <w:tabs>
              <w:tab w:val="right" w:leader="dot" w:pos="9063"/>
            </w:tabs>
            <w:rPr>
              <w:rFonts w:eastAsiaTheme="minorEastAsia"/>
              <w:noProof/>
              <w:lang w:eastAsia="fr-BE"/>
            </w:rPr>
          </w:pPr>
          <w:hyperlink w:anchor="_Toc174543410" w:history="1">
            <w:r w:rsidR="005F342B" w:rsidRPr="00712F1E">
              <w:rPr>
                <w:rStyle w:val="Lienhypertexte"/>
                <w:rFonts w:eastAsia="Calibri"/>
                <w:noProof/>
              </w:rPr>
              <w:t>Considérations éthiques</w:t>
            </w:r>
            <w:r w:rsidR="005F342B">
              <w:rPr>
                <w:noProof/>
                <w:webHidden/>
              </w:rPr>
              <w:tab/>
            </w:r>
            <w:r w:rsidR="005F342B">
              <w:rPr>
                <w:noProof/>
                <w:webHidden/>
              </w:rPr>
              <w:fldChar w:fldCharType="begin"/>
            </w:r>
            <w:r w:rsidR="005F342B">
              <w:rPr>
                <w:noProof/>
                <w:webHidden/>
              </w:rPr>
              <w:instrText xml:space="preserve"> PAGEREF _Toc174543410 \h </w:instrText>
            </w:r>
            <w:r w:rsidR="005F342B">
              <w:rPr>
                <w:noProof/>
                <w:webHidden/>
              </w:rPr>
            </w:r>
            <w:r w:rsidR="005F342B">
              <w:rPr>
                <w:noProof/>
                <w:webHidden/>
              </w:rPr>
              <w:fldChar w:fldCharType="separate"/>
            </w:r>
            <w:r w:rsidR="005F342B">
              <w:rPr>
                <w:noProof/>
                <w:webHidden/>
              </w:rPr>
              <w:t>8</w:t>
            </w:r>
            <w:r w:rsidR="005F342B">
              <w:rPr>
                <w:noProof/>
                <w:webHidden/>
              </w:rPr>
              <w:fldChar w:fldCharType="end"/>
            </w:r>
          </w:hyperlink>
        </w:p>
        <w:p w:rsidR="005F342B" w:rsidRDefault="00994345">
          <w:pPr>
            <w:pStyle w:val="TM1"/>
            <w:tabs>
              <w:tab w:val="right" w:leader="dot" w:pos="9063"/>
            </w:tabs>
            <w:rPr>
              <w:rFonts w:eastAsiaTheme="minorEastAsia"/>
              <w:noProof/>
              <w:lang w:eastAsia="fr-BE"/>
            </w:rPr>
          </w:pPr>
          <w:hyperlink w:anchor="_Toc174543411" w:history="1">
            <w:r w:rsidR="005F342B" w:rsidRPr="00712F1E">
              <w:rPr>
                <w:rStyle w:val="Lienhypertexte"/>
                <w:rFonts w:eastAsia="Calibri"/>
                <w:noProof/>
              </w:rPr>
              <w:t>Livrables attendus et calendrier</w:t>
            </w:r>
            <w:r w:rsidR="005F342B">
              <w:rPr>
                <w:noProof/>
                <w:webHidden/>
              </w:rPr>
              <w:tab/>
            </w:r>
            <w:r w:rsidR="005F342B">
              <w:rPr>
                <w:noProof/>
                <w:webHidden/>
              </w:rPr>
              <w:fldChar w:fldCharType="begin"/>
            </w:r>
            <w:r w:rsidR="005F342B">
              <w:rPr>
                <w:noProof/>
                <w:webHidden/>
              </w:rPr>
              <w:instrText xml:space="preserve"> PAGEREF _Toc174543411 \h </w:instrText>
            </w:r>
            <w:r w:rsidR="005F342B">
              <w:rPr>
                <w:noProof/>
                <w:webHidden/>
              </w:rPr>
            </w:r>
            <w:r w:rsidR="005F342B">
              <w:rPr>
                <w:noProof/>
                <w:webHidden/>
              </w:rPr>
              <w:fldChar w:fldCharType="separate"/>
            </w:r>
            <w:r w:rsidR="005F342B">
              <w:rPr>
                <w:noProof/>
                <w:webHidden/>
              </w:rPr>
              <w:t>8</w:t>
            </w:r>
            <w:r w:rsidR="005F342B">
              <w:rPr>
                <w:noProof/>
                <w:webHidden/>
              </w:rPr>
              <w:fldChar w:fldCharType="end"/>
            </w:r>
          </w:hyperlink>
        </w:p>
        <w:p w:rsidR="005F342B" w:rsidRDefault="00994345">
          <w:pPr>
            <w:pStyle w:val="TM2"/>
            <w:tabs>
              <w:tab w:val="right" w:leader="dot" w:pos="9063"/>
            </w:tabs>
            <w:rPr>
              <w:rFonts w:eastAsiaTheme="minorEastAsia"/>
              <w:noProof/>
              <w:lang w:eastAsia="fr-BE"/>
            </w:rPr>
          </w:pPr>
          <w:hyperlink w:anchor="_Toc174543412" w:history="1">
            <w:r w:rsidR="005F342B" w:rsidRPr="00712F1E">
              <w:rPr>
                <w:rStyle w:val="Lienhypertexte"/>
                <w:rFonts w:eastAsia="Calibri"/>
                <w:noProof/>
              </w:rPr>
              <w:t>5.1. Livrables</w:t>
            </w:r>
            <w:r w:rsidR="005F342B">
              <w:rPr>
                <w:noProof/>
                <w:webHidden/>
              </w:rPr>
              <w:tab/>
            </w:r>
            <w:r w:rsidR="005F342B">
              <w:rPr>
                <w:noProof/>
                <w:webHidden/>
              </w:rPr>
              <w:fldChar w:fldCharType="begin"/>
            </w:r>
            <w:r w:rsidR="005F342B">
              <w:rPr>
                <w:noProof/>
                <w:webHidden/>
              </w:rPr>
              <w:instrText xml:space="preserve"> PAGEREF _Toc174543412 \h </w:instrText>
            </w:r>
            <w:r w:rsidR="005F342B">
              <w:rPr>
                <w:noProof/>
                <w:webHidden/>
              </w:rPr>
            </w:r>
            <w:r w:rsidR="005F342B">
              <w:rPr>
                <w:noProof/>
                <w:webHidden/>
              </w:rPr>
              <w:fldChar w:fldCharType="separate"/>
            </w:r>
            <w:r w:rsidR="005F342B">
              <w:rPr>
                <w:noProof/>
                <w:webHidden/>
              </w:rPr>
              <w:t>8</w:t>
            </w:r>
            <w:r w:rsidR="005F342B">
              <w:rPr>
                <w:noProof/>
                <w:webHidden/>
              </w:rPr>
              <w:fldChar w:fldCharType="end"/>
            </w:r>
          </w:hyperlink>
        </w:p>
        <w:p w:rsidR="005F342B" w:rsidRDefault="00994345">
          <w:pPr>
            <w:pStyle w:val="TM2"/>
            <w:tabs>
              <w:tab w:val="right" w:leader="dot" w:pos="9063"/>
            </w:tabs>
            <w:rPr>
              <w:rFonts w:eastAsiaTheme="minorEastAsia"/>
              <w:noProof/>
              <w:lang w:eastAsia="fr-BE"/>
            </w:rPr>
          </w:pPr>
          <w:hyperlink w:anchor="_Toc174543413" w:history="1">
            <w:r w:rsidR="005F342B" w:rsidRPr="00712F1E">
              <w:rPr>
                <w:rStyle w:val="Lienhypertexte"/>
                <w:rFonts w:eastAsia="Calibri"/>
                <w:noProof/>
              </w:rPr>
              <w:t>5.2. Calendrier</w:t>
            </w:r>
            <w:r w:rsidR="005F342B">
              <w:rPr>
                <w:noProof/>
                <w:webHidden/>
              </w:rPr>
              <w:tab/>
            </w:r>
            <w:r w:rsidR="005F342B">
              <w:rPr>
                <w:noProof/>
                <w:webHidden/>
              </w:rPr>
              <w:fldChar w:fldCharType="begin"/>
            </w:r>
            <w:r w:rsidR="005F342B">
              <w:rPr>
                <w:noProof/>
                <w:webHidden/>
              </w:rPr>
              <w:instrText xml:space="preserve"> PAGEREF _Toc174543413 \h </w:instrText>
            </w:r>
            <w:r w:rsidR="005F342B">
              <w:rPr>
                <w:noProof/>
                <w:webHidden/>
              </w:rPr>
            </w:r>
            <w:r w:rsidR="005F342B">
              <w:rPr>
                <w:noProof/>
                <w:webHidden/>
              </w:rPr>
              <w:fldChar w:fldCharType="separate"/>
            </w:r>
            <w:r w:rsidR="005F342B">
              <w:rPr>
                <w:noProof/>
                <w:webHidden/>
              </w:rPr>
              <w:t>8</w:t>
            </w:r>
            <w:r w:rsidR="005F342B">
              <w:rPr>
                <w:noProof/>
                <w:webHidden/>
              </w:rPr>
              <w:fldChar w:fldCharType="end"/>
            </w:r>
          </w:hyperlink>
        </w:p>
        <w:p w:rsidR="005F342B" w:rsidRDefault="00994345">
          <w:pPr>
            <w:pStyle w:val="TM1"/>
            <w:tabs>
              <w:tab w:val="right" w:leader="dot" w:pos="9063"/>
            </w:tabs>
            <w:rPr>
              <w:rFonts w:eastAsiaTheme="minorEastAsia"/>
              <w:noProof/>
              <w:lang w:eastAsia="fr-BE"/>
            </w:rPr>
          </w:pPr>
          <w:hyperlink w:anchor="_Toc174543414" w:history="1">
            <w:r w:rsidR="005F342B" w:rsidRPr="00712F1E">
              <w:rPr>
                <w:rStyle w:val="Lienhypertexte"/>
                <w:noProof/>
              </w:rPr>
              <w:t>Profil de l’évaluateur·rice</w:t>
            </w:r>
            <w:r w:rsidR="005F342B">
              <w:rPr>
                <w:noProof/>
                <w:webHidden/>
              </w:rPr>
              <w:tab/>
            </w:r>
            <w:r w:rsidR="005F342B">
              <w:rPr>
                <w:noProof/>
                <w:webHidden/>
              </w:rPr>
              <w:fldChar w:fldCharType="begin"/>
            </w:r>
            <w:r w:rsidR="005F342B">
              <w:rPr>
                <w:noProof/>
                <w:webHidden/>
              </w:rPr>
              <w:instrText xml:space="preserve"> PAGEREF _Toc174543414 \h </w:instrText>
            </w:r>
            <w:r w:rsidR="005F342B">
              <w:rPr>
                <w:noProof/>
                <w:webHidden/>
              </w:rPr>
            </w:r>
            <w:r w:rsidR="005F342B">
              <w:rPr>
                <w:noProof/>
                <w:webHidden/>
              </w:rPr>
              <w:fldChar w:fldCharType="separate"/>
            </w:r>
            <w:r w:rsidR="005F342B">
              <w:rPr>
                <w:noProof/>
                <w:webHidden/>
              </w:rPr>
              <w:t>9</w:t>
            </w:r>
            <w:r w:rsidR="005F342B">
              <w:rPr>
                <w:noProof/>
                <w:webHidden/>
              </w:rPr>
              <w:fldChar w:fldCharType="end"/>
            </w:r>
          </w:hyperlink>
        </w:p>
        <w:p w:rsidR="005F342B" w:rsidRDefault="00994345">
          <w:pPr>
            <w:pStyle w:val="TM1"/>
            <w:tabs>
              <w:tab w:val="right" w:leader="dot" w:pos="9063"/>
            </w:tabs>
            <w:rPr>
              <w:rFonts w:eastAsiaTheme="minorEastAsia"/>
              <w:noProof/>
              <w:lang w:eastAsia="fr-BE"/>
            </w:rPr>
          </w:pPr>
          <w:hyperlink w:anchor="_Toc174543415" w:history="1">
            <w:r w:rsidR="005F342B" w:rsidRPr="00712F1E">
              <w:rPr>
                <w:rStyle w:val="Lienhypertexte"/>
                <w:noProof/>
              </w:rPr>
              <w:t>Budget</w:t>
            </w:r>
            <w:r w:rsidR="005F342B">
              <w:rPr>
                <w:noProof/>
                <w:webHidden/>
              </w:rPr>
              <w:tab/>
            </w:r>
            <w:r w:rsidR="005F342B">
              <w:rPr>
                <w:noProof/>
                <w:webHidden/>
              </w:rPr>
              <w:fldChar w:fldCharType="begin"/>
            </w:r>
            <w:r w:rsidR="005F342B">
              <w:rPr>
                <w:noProof/>
                <w:webHidden/>
              </w:rPr>
              <w:instrText xml:space="preserve"> PAGEREF _Toc174543415 \h </w:instrText>
            </w:r>
            <w:r w:rsidR="005F342B">
              <w:rPr>
                <w:noProof/>
                <w:webHidden/>
              </w:rPr>
            </w:r>
            <w:r w:rsidR="005F342B">
              <w:rPr>
                <w:noProof/>
                <w:webHidden/>
              </w:rPr>
              <w:fldChar w:fldCharType="separate"/>
            </w:r>
            <w:r w:rsidR="005F342B">
              <w:rPr>
                <w:noProof/>
                <w:webHidden/>
              </w:rPr>
              <w:t>9</w:t>
            </w:r>
            <w:r w:rsidR="005F342B">
              <w:rPr>
                <w:noProof/>
                <w:webHidden/>
              </w:rPr>
              <w:fldChar w:fldCharType="end"/>
            </w:r>
          </w:hyperlink>
        </w:p>
        <w:p w:rsidR="005F342B" w:rsidRDefault="00994345">
          <w:pPr>
            <w:pStyle w:val="TM1"/>
            <w:tabs>
              <w:tab w:val="right" w:leader="dot" w:pos="9063"/>
            </w:tabs>
            <w:rPr>
              <w:rFonts w:eastAsiaTheme="minorEastAsia"/>
              <w:noProof/>
              <w:lang w:eastAsia="fr-BE"/>
            </w:rPr>
          </w:pPr>
          <w:hyperlink w:anchor="_Toc174543416" w:history="1">
            <w:r w:rsidR="005F342B" w:rsidRPr="00712F1E">
              <w:rPr>
                <w:rStyle w:val="Lienhypertexte"/>
                <w:noProof/>
              </w:rPr>
              <w:t>Candidatures</w:t>
            </w:r>
            <w:r w:rsidR="005F342B">
              <w:rPr>
                <w:noProof/>
                <w:webHidden/>
              </w:rPr>
              <w:tab/>
            </w:r>
            <w:r w:rsidR="005F342B">
              <w:rPr>
                <w:noProof/>
                <w:webHidden/>
              </w:rPr>
              <w:fldChar w:fldCharType="begin"/>
            </w:r>
            <w:r w:rsidR="005F342B">
              <w:rPr>
                <w:noProof/>
                <w:webHidden/>
              </w:rPr>
              <w:instrText xml:space="preserve"> PAGEREF _Toc174543416 \h </w:instrText>
            </w:r>
            <w:r w:rsidR="005F342B">
              <w:rPr>
                <w:noProof/>
                <w:webHidden/>
              </w:rPr>
            </w:r>
            <w:r w:rsidR="005F342B">
              <w:rPr>
                <w:noProof/>
                <w:webHidden/>
              </w:rPr>
              <w:fldChar w:fldCharType="separate"/>
            </w:r>
            <w:r w:rsidR="005F342B">
              <w:rPr>
                <w:noProof/>
                <w:webHidden/>
              </w:rPr>
              <w:t>9</w:t>
            </w:r>
            <w:r w:rsidR="005F342B">
              <w:rPr>
                <w:noProof/>
                <w:webHidden/>
              </w:rPr>
              <w:fldChar w:fldCharType="end"/>
            </w:r>
          </w:hyperlink>
        </w:p>
        <w:p w:rsidR="005F342B" w:rsidRDefault="00994345">
          <w:pPr>
            <w:pStyle w:val="TM2"/>
            <w:tabs>
              <w:tab w:val="right" w:leader="dot" w:pos="9063"/>
            </w:tabs>
            <w:rPr>
              <w:rFonts w:eastAsiaTheme="minorEastAsia"/>
              <w:noProof/>
              <w:lang w:eastAsia="fr-BE"/>
            </w:rPr>
          </w:pPr>
          <w:hyperlink w:anchor="_Toc174543417" w:history="1">
            <w:r w:rsidR="005F342B" w:rsidRPr="00712F1E">
              <w:rPr>
                <w:rStyle w:val="Lienhypertexte"/>
                <w:noProof/>
              </w:rPr>
              <w:t>8.1. Contenu de l’Offre</w:t>
            </w:r>
            <w:r w:rsidR="005F342B">
              <w:rPr>
                <w:noProof/>
                <w:webHidden/>
              </w:rPr>
              <w:tab/>
            </w:r>
            <w:r w:rsidR="005F342B">
              <w:rPr>
                <w:noProof/>
                <w:webHidden/>
              </w:rPr>
              <w:fldChar w:fldCharType="begin"/>
            </w:r>
            <w:r w:rsidR="005F342B">
              <w:rPr>
                <w:noProof/>
                <w:webHidden/>
              </w:rPr>
              <w:instrText xml:space="preserve"> PAGEREF _Toc174543417 \h </w:instrText>
            </w:r>
            <w:r w:rsidR="005F342B">
              <w:rPr>
                <w:noProof/>
                <w:webHidden/>
              </w:rPr>
            </w:r>
            <w:r w:rsidR="005F342B">
              <w:rPr>
                <w:noProof/>
                <w:webHidden/>
              </w:rPr>
              <w:fldChar w:fldCharType="separate"/>
            </w:r>
            <w:r w:rsidR="005F342B">
              <w:rPr>
                <w:noProof/>
                <w:webHidden/>
              </w:rPr>
              <w:t>10</w:t>
            </w:r>
            <w:r w:rsidR="005F342B">
              <w:rPr>
                <w:noProof/>
                <w:webHidden/>
              </w:rPr>
              <w:fldChar w:fldCharType="end"/>
            </w:r>
          </w:hyperlink>
        </w:p>
        <w:p w:rsidR="005F342B" w:rsidRDefault="00994345">
          <w:pPr>
            <w:pStyle w:val="TM2"/>
            <w:tabs>
              <w:tab w:val="right" w:leader="dot" w:pos="9063"/>
            </w:tabs>
            <w:rPr>
              <w:rFonts w:eastAsiaTheme="minorEastAsia"/>
              <w:noProof/>
              <w:lang w:eastAsia="fr-BE"/>
            </w:rPr>
          </w:pPr>
          <w:hyperlink w:anchor="_Toc174543418" w:history="1">
            <w:r w:rsidR="005F342B" w:rsidRPr="00712F1E">
              <w:rPr>
                <w:rStyle w:val="Lienhypertexte"/>
                <w:noProof/>
              </w:rPr>
              <w:t>8.2. Procédure de soumission</w:t>
            </w:r>
            <w:r w:rsidR="005F342B">
              <w:rPr>
                <w:noProof/>
                <w:webHidden/>
              </w:rPr>
              <w:tab/>
            </w:r>
            <w:r w:rsidR="005F342B">
              <w:rPr>
                <w:noProof/>
                <w:webHidden/>
              </w:rPr>
              <w:fldChar w:fldCharType="begin"/>
            </w:r>
            <w:r w:rsidR="005F342B">
              <w:rPr>
                <w:noProof/>
                <w:webHidden/>
              </w:rPr>
              <w:instrText xml:space="preserve"> PAGEREF _Toc174543418 \h </w:instrText>
            </w:r>
            <w:r w:rsidR="005F342B">
              <w:rPr>
                <w:noProof/>
                <w:webHidden/>
              </w:rPr>
            </w:r>
            <w:r w:rsidR="005F342B">
              <w:rPr>
                <w:noProof/>
                <w:webHidden/>
              </w:rPr>
              <w:fldChar w:fldCharType="separate"/>
            </w:r>
            <w:r w:rsidR="005F342B">
              <w:rPr>
                <w:noProof/>
                <w:webHidden/>
              </w:rPr>
              <w:t>10</w:t>
            </w:r>
            <w:r w:rsidR="005F342B">
              <w:rPr>
                <w:noProof/>
                <w:webHidden/>
              </w:rPr>
              <w:fldChar w:fldCharType="end"/>
            </w:r>
          </w:hyperlink>
        </w:p>
        <w:p w:rsidR="00B13AEF" w:rsidRDefault="00B13AEF" w:rsidP="006778CB">
          <w:pPr>
            <w:jc w:val="both"/>
          </w:pPr>
          <w:r>
            <w:rPr>
              <w:b/>
              <w:bCs/>
              <w:lang w:val="fr-FR"/>
            </w:rPr>
            <w:fldChar w:fldCharType="end"/>
          </w:r>
        </w:p>
      </w:sdtContent>
    </w:sdt>
    <w:p w:rsidR="00B13AEF" w:rsidRDefault="00B13AEF" w:rsidP="006778CB">
      <w:pPr>
        <w:ind w:left="709" w:right="850"/>
        <w:jc w:val="both"/>
      </w:pPr>
    </w:p>
    <w:p w:rsidR="00B13AEF" w:rsidRDefault="00B13AEF" w:rsidP="006778CB">
      <w:pPr>
        <w:ind w:left="709" w:right="850"/>
        <w:jc w:val="both"/>
      </w:pPr>
    </w:p>
    <w:p w:rsidR="00B13AEF" w:rsidRDefault="00B13AEF" w:rsidP="006778CB">
      <w:pPr>
        <w:jc w:val="both"/>
      </w:pPr>
      <w:r>
        <w:br w:type="page"/>
      </w:r>
    </w:p>
    <w:p w:rsidR="00B13AEF" w:rsidRDefault="00B13AEF" w:rsidP="006778CB">
      <w:pPr>
        <w:pStyle w:val="Titre1"/>
        <w:jc w:val="both"/>
      </w:pPr>
      <w:bookmarkStart w:id="0" w:name="_Toc174543399"/>
      <w:r>
        <w:lastRenderedPageBreak/>
        <w:t>Contexte de l’évaluation</w:t>
      </w:r>
      <w:bookmarkEnd w:id="0"/>
      <w:r>
        <w:t xml:space="preserve"> </w:t>
      </w:r>
    </w:p>
    <w:p w:rsidR="00B13AEF" w:rsidRDefault="00B13AEF" w:rsidP="006778CB">
      <w:pPr>
        <w:pStyle w:val="Titre2"/>
        <w:numPr>
          <w:ilvl w:val="1"/>
          <w:numId w:val="1"/>
        </w:numPr>
        <w:jc w:val="both"/>
      </w:pPr>
      <w:bookmarkStart w:id="1" w:name="_Toc174543400"/>
      <w:r>
        <w:t>Présentation de l’ONG</w:t>
      </w:r>
      <w:bookmarkEnd w:id="1"/>
    </w:p>
    <w:p w:rsidR="00C76FA9" w:rsidRPr="006778CB" w:rsidRDefault="00C76FA9" w:rsidP="006778CB">
      <w:pPr>
        <w:jc w:val="both"/>
        <w:rPr>
          <w:rFonts w:asciiTheme="majorHAnsi" w:hAnsiTheme="majorHAnsi" w:cstheme="majorHAnsi"/>
        </w:rPr>
      </w:pPr>
      <w:r w:rsidRPr="006778CB">
        <w:rPr>
          <w:rFonts w:asciiTheme="majorHAnsi" w:hAnsiTheme="majorHAnsi" w:cstheme="majorHAnsi"/>
        </w:rPr>
        <w:t xml:space="preserve">« Laïcité et Humanisme en Afrique Centrale », LHAC, a vu le jour en 1997, à la demande de </w:t>
      </w:r>
      <w:r w:rsidR="00C02C8F">
        <w:rPr>
          <w:rFonts w:asciiTheme="majorHAnsi" w:hAnsiTheme="majorHAnsi" w:cstheme="majorHAnsi"/>
        </w:rPr>
        <w:t>membres de la société civile congolaise</w:t>
      </w:r>
      <w:r w:rsidRPr="006778CB">
        <w:rPr>
          <w:rFonts w:asciiTheme="majorHAnsi" w:hAnsiTheme="majorHAnsi" w:cstheme="majorHAnsi"/>
        </w:rPr>
        <w:t xml:space="preserve">, anciens étudiants de l’ULB, membres de l’organisation « Humanisme et Solidarité (H&amp;S) ». Organisation constitutive du Centre d'Action Laïque, LHAC entretient des relations dynamiques avec le CAL et ses régionales. De plus, LHAC est, depuis plus de vingt-cinq ans, une organisation de la société civile reconnue qui travaille essentiellement en République Démocratique du Congo. </w:t>
      </w:r>
    </w:p>
    <w:p w:rsidR="00C76FA9" w:rsidRPr="006778CB" w:rsidRDefault="00C76FA9" w:rsidP="006778CB">
      <w:pPr>
        <w:jc w:val="both"/>
        <w:rPr>
          <w:rFonts w:asciiTheme="majorHAnsi" w:hAnsiTheme="majorHAnsi" w:cstheme="majorHAnsi"/>
        </w:rPr>
      </w:pPr>
      <w:r w:rsidRPr="006778CB">
        <w:rPr>
          <w:rFonts w:asciiTheme="majorHAnsi" w:hAnsiTheme="majorHAnsi" w:cstheme="majorHAnsi"/>
        </w:rPr>
        <w:t>En collaboration étroite avec H&amp;S, LHAC s’est engagée à défendre et soutenir l’enseignement public en RDCongo.</w:t>
      </w:r>
    </w:p>
    <w:p w:rsidR="00C76FA9" w:rsidRPr="006778CB" w:rsidRDefault="00C76FA9" w:rsidP="006778CB">
      <w:pPr>
        <w:jc w:val="both"/>
        <w:rPr>
          <w:rFonts w:asciiTheme="majorHAnsi" w:hAnsiTheme="majorHAnsi" w:cstheme="majorHAnsi"/>
        </w:rPr>
      </w:pPr>
      <w:r w:rsidRPr="006778CB">
        <w:rPr>
          <w:rFonts w:asciiTheme="majorHAnsi" w:hAnsiTheme="majorHAnsi" w:cstheme="majorHAnsi"/>
        </w:rPr>
        <w:t>Depuis l’établissement d’un partenariat avec la Maison de la Laïcité de Kinshasa en 2010, LHAC œuvre pour la défense des droits humains, progressistes et démocratiques, et travaille au développement de nombreux projets de soutien et de renforcement de capacités de la société civile laïque et humaniste congolaise.</w:t>
      </w:r>
    </w:p>
    <w:p w:rsidR="00B13AEF" w:rsidRDefault="00C76FA9" w:rsidP="006778CB">
      <w:pPr>
        <w:jc w:val="both"/>
        <w:rPr>
          <w:rFonts w:asciiTheme="majorHAnsi" w:hAnsiTheme="majorHAnsi" w:cstheme="majorHAnsi"/>
        </w:rPr>
      </w:pPr>
      <w:r w:rsidRPr="006778CB">
        <w:rPr>
          <w:rFonts w:asciiTheme="majorHAnsi" w:hAnsiTheme="majorHAnsi" w:cstheme="majorHAnsi"/>
        </w:rPr>
        <w:t>LHAC est aussi une association active en Belgique. Elle mène des projets d’éducation à la citoyenneté mondiale et solidaire et travaille à renforcer la présence des valeurs laïques et progressistes dans le secteur de la solidarité internationale.</w:t>
      </w:r>
    </w:p>
    <w:p w:rsidR="00C02C8F" w:rsidRPr="006778CB" w:rsidRDefault="00C02C8F" w:rsidP="006778CB">
      <w:pPr>
        <w:jc w:val="both"/>
        <w:rPr>
          <w:rFonts w:asciiTheme="majorHAnsi" w:hAnsiTheme="majorHAnsi" w:cstheme="majorHAnsi"/>
        </w:rPr>
      </w:pPr>
      <w:r w:rsidRPr="00C02C8F">
        <w:rPr>
          <w:rFonts w:asciiTheme="majorHAnsi" w:hAnsiTheme="majorHAnsi" w:cstheme="majorHAnsi"/>
        </w:rPr>
        <w:t>LHAC entretien des relations dynamiques avec le CAL, ses 7 régionales et 32O associations membres</w:t>
      </w:r>
      <w:r>
        <w:rPr>
          <w:rFonts w:asciiTheme="majorHAnsi" w:hAnsiTheme="majorHAnsi" w:cstheme="majorHAnsi"/>
        </w:rPr>
        <w:t xml:space="preserve">. LHAC est </w:t>
      </w:r>
      <w:r w:rsidRPr="00C02C8F">
        <w:rPr>
          <w:rFonts w:asciiTheme="majorHAnsi" w:hAnsiTheme="majorHAnsi" w:cstheme="majorHAnsi"/>
        </w:rPr>
        <w:t>aussi membre de l'A</w:t>
      </w:r>
      <w:r>
        <w:rPr>
          <w:rFonts w:asciiTheme="majorHAnsi" w:hAnsiTheme="majorHAnsi" w:cstheme="majorHAnsi"/>
        </w:rPr>
        <w:t xml:space="preserve">ction </w:t>
      </w:r>
      <w:r w:rsidRPr="00C02C8F">
        <w:rPr>
          <w:rFonts w:asciiTheme="majorHAnsi" w:hAnsiTheme="majorHAnsi" w:cstheme="majorHAnsi"/>
        </w:rPr>
        <w:t>P</w:t>
      </w:r>
      <w:r>
        <w:rPr>
          <w:rFonts w:asciiTheme="majorHAnsi" w:hAnsiTheme="majorHAnsi" w:cstheme="majorHAnsi"/>
        </w:rPr>
        <w:t xml:space="preserve">rogressiste </w:t>
      </w:r>
      <w:r w:rsidRPr="00C02C8F">
        <w:rPr>
          <w:rFonts w:asciiTheme="majorHAnsi" w:hAnsiTheme="majorHAnsi" w:cstheme="majorHAnsi"/>
        </w:rPr>
        <w:t>L</w:t>
      </w:r>
      <w:r>
        <w:rPr>
          <w:rFonts w:asciiTheme="majorHAnsi" w:hAnsiTheme="majorHAnsi" w:cstheme="majorHAnsi"/>
        </w:rPr>
        <w:t>aïque</w:t>
      </w:r>
      <w:r w:rsidRPr="00C02C8F">
        <w:rPr>
          <w:rFonts w:asciiTheme="majorHAnsi" w:hAnsiTheme="majorHAnsi" w:cstheme="majorHAnsi"/>
        </w:rPr>
        <w:t>,</w:t>
      </w:r>
      <w:r>
        <w:rPr>
          <w:rFonts w:asciiTheme="majorHAnsi" w:hAnsiTheme="majorHAnsi" w:cstheme="majorHAnsi"/>
        </w:rPr>
        <w:t xml:space="preserve"> du</w:t>
      </w:r>
      <w:r w:rsidRPr="00C02C8F">
        <w:rPr>
          <w:rFonts w:asciiTheme="majorHAnsi" w:hAnsiTheme="majorHAnsi" w:cstheme="majorHAnsi"/>
        </w:rPr>
        <w:t xml:space="preserve"> CNCD</w:t>
      </w:r>
      <w:r>
        <w:rPr>
          <w:rFonts w:asciiTheme="majorHAnsi" w:hAnsiTheme="majorHAnsi" w:cstheme="majorHAnsi"/>
        </w:rPr>
        <w:t>-</w:t>
      </w:r>
      <w:r w:rsidRPr="00C02C8F">
        <w:rPr>
          <w:rFonts w:asciiTheme="majorHAnsi" w:hAnsiTheme="majorHAnsi" w:cstheme="majorHAnsi"/>
        </w:rPr>
        <w:t>11</w:t>
      </w:r>
      <w:r>
        <w:rPr>
          <w:rFonts w:asciiTheme="majorHAnsi" w:hAnsiTheme="majorHAnsi" w:cstheme="majorHAnsi"/>
        </w:rPr>
        <w:t>.</w:t>
      </w:r>
      <w:r w:rsidRPr="00C02C8F">
        <w:rPr>
          <w:rFonts w:asciiTheme="majorHAnsi" w:hAnsiTheme="majorHAnsi" w:cstheme="majorHAnsi"/>
        </w:rPr>
        <w:t>11</w:t>
      </w:r>
      <w:r>
        <w:rPr>
          <w:rFonts w:asciiTheme="majorHAnsi" w:hAnsiTheme="majorHAnsi" w:cstheme="majorHAnsi"/>
        </w:rPr>
        <w:t>.</w:t>
      </w:r>
      <w:r w:rsidRPr="00C02C8F">
        <w:rPr>
          <w:rFonts w:asciiTheme="majorHAnsi" w:hAnsiTheme="majorHAnsi" w:cstheme="majorHAnsi"/>
        </w:rPr>
        <w:t>11 et d</w:t>
      </w:r>
      <w:r>
        <w:rPr>
          <w:rFonts w:asciiTheme="majorHAnsi" w:hAnsiTheme="majorHAnsi" w:cstheme="majorHAnsi"/>
        </w:rPr>
        <w:t>’</w:t>
      </w:r>
      <w:r w:rsidRPr="00C02C8F">
        <w:rPr>
          <w:rFonts w:asciiTheme="majorHAnsi" w:hAnsiTheme="majorHAnsi" w:cstheme="majorHAnsi"/>
        </w:rPr>
        <w:t>ACODEV</w:t>
      </w:r>
      <w:r>
        <w:rPr>
          <w:rFonts w:asciiTheme="majorHAnsi" w:hAnsiTheme="majorHAnsi" w:cstheme="majorHAnsi"/>
        </w:rPr>
        <w:t>.</w:t>
      </w:r>
    </w:p>
    <w:p w:rsidR="00C50B22" w:rsidRPr="00C50B22" w:rsidRDefault="00C50B22" w:rsidP="006778CB">
      <w:pPr>
        <w:jc w:val="both"/>
        <w:rPr>
          <w:b/>
        </w:rPr>
      </w:pPr>
      <w:r w:rsidRPr="00C50B22">
        <w:rPr>
          <w:b/>
        </w:rPr>
        <w:t>Notre vision</w:t>
      </w:r>
    </w:p>
    <w:p w:rsidR="00C50B22" w:rsidRPr="006778CB" w:rsidRDefault="00C50B22" w:rsidP="006778CB">
      <w:pPr>
        <w:jc w:val="both"/>
        <w:rPr>
          <w:rFonts w:asciiTheme="majorHAnsi" w:hAnsiTheme="majorHAnsi" w:cstheme="majorHAnsi"/>
        </w:rPr>
      </w:pPr>
      <w:r w:rsidRPr="006778CB">
        <w:rPr>
          <w:rFonts w:asciiTheme="majorHAnsi" w:hAnsiTheme="majorHAnsi" w:cstheme="majorHAnsi"/>
        </w:rPr>
        <w:t> L’émancipation des femmes et des hommes n’est pleinement possible que lorsqu’ils et elles peuvent évoluer dans un environnement</w:t>
      </w:r>
      <w:r w:rsidR="00C02C8F">
        <w:rPr>
          <w:rFonts w:asciiTheme="majorHAnsi" w:hAnsiTheme="majorHAnsi" w:cstheme="majorHAnsi"/>
        </w:rPr>
        <w:t xml:space="preserve"> démocratique, </w:t>
      </w:r>
      <w:r w:rsidRPr="006778CB">
        <w:rPr>
          <w:rFonts w:asciiTheme="majorHAnsi" w:hAnsiTheme="majorHAnsi" w:cstheme="majorHAnsi"/>
        </w:rPr>
        <w:t>laïque et libre-</w:t>
      </w:r>
      <w:proofErr w:type="spellStart"/>
      <w:r w:rsidRPr="006778CB">
        <w:rPr>
          <w:rFonts w:asciiTheme="majorHAnsi" w:hAnsiTheme="majorHAnsi" w:cstheme="majorHAnsi"/>
        </w:rPr>
        <w:t>exaministe</w:t>
      </w:r>
      <w:proofErr w:type="spellEnd"/>
      <w:r w:rsidRPr="006778CB">
        <w:rPr>
          <w:rFonts w:asciiTheme="majorHAnsi" w:hAnsiTheme="majorHAnsi" w:cstheme="majorHAnsi"/>
        </w:rPr>
        <w:t xml:space="preserve">, leur permettant de penser, de s’exprimer, d’agir et de participer à la vie publique, égaux en droits et libres de tout dogme, dans le respect des droits humains et de l’Etat de droit. </w:t>
      </w:r>
    </w:p>
    <w:p w:rsidR="00C50B22" w:rsidRPr="006778CB" w:rsidRDefault="00C50B22" w:rsidP="006778CB">
      <w:pPr>
        <w:jc w:val="both"/>
        <w:rPr>
          <w:rFonts w:asciiTheme="majorHAnsi" w:hAnsiTheme="majorHAnsi" w:cstheme="majorHAnsi"/>
        </w:rPr>
      </w:pPr>
      <w:r w:rsidRPr="006778CB">
        <w:rPr>
          <w:rFonts w:asciiTheme="majorHAnsi" w:hAnsiTheme="majorHAnsi" w:cstheme="majorHAnsi"/>
        </w:rPr>
        <w:t>LHAC se mobilise pour soutenir, coopérer et agir en Afrique Centrale, en solidarité avec les acteurs portant, défendant et appliquant ces valeurs dans des projets visant au changement social, particulièrement dans des contextes où les libertés privées ou publiques sont fragilisées.</w:t>
      </w:r>
    </w:p>
    <w:p w:rsidR="00C50B22" w:rsidRPr="006778CB" w:rsidRDefault="00C50B22" w:rsidP="006778CB">
      <w:pPr>
        <w:jc w:val="both"/>
        <w:rPr>
          <w:rFonts w:asciiTheme="majorHAnsi" w:hAnsiTheme="majorHAnsi" w:cstheme="majorHAnsi"/>
        </w:rPr>
      </w:pPr>
      <w:r w:rsidRPr="006778CB">
        <w:rPr>
          <w:rFonts w:asciiTheme="majorHAnsi" w:hAnsiTheme="majorHAnsi" w:cstheme="majorHAnsi"/>
        </w:rPr>
        <w:t>LHAC a l'ambition de se mettre en relation avec les autres acteurs qui à travers le monde se mobilisent autour de cette même vision et mêmes valeurs.</w:t>
      </w:r>
    </w:p>
    <w:p w:rsidR="00C50B22" w:rsidRPr="006778CB" w:rsidRDefault="00C50B22" w:rsidP="006778CB">
      <w:pPr>
        <w:jc w:val="both"/>
        <w:rPr>
          <w:rFonts w:asciiTheme="majorHAnsi" w:hAnsiTheme="majorHAnsi" w:cstheme="majorHAnsi"/>
        </w:rPr>
      </w:pPr>
      <w:r w:rsidRPr="006778CB">
        <w:rPr>
          <w:rFonts w:asciiTheme="majorHAnsi" w:hAnsiTheme="majorHAnsi" w:cstheme="majorHAnsi"/>
        </w:rPr>
        <w:t>LHAC est membre du Centre d’Action Laïque et partage les valeurs</w:t>
      </w:r>
      <w:r w:rsidR="00C02C8F">
        <w:rPr>
          <w:rFonts w:asciiTheme="majorHAnsi" w:hAnsiTheme="majorHAnsi" w:cstheme="majorHAnsi"/>
        </w:rPr>
        <w:t xml:space="preserve"> de fraternité, de sororité et de solidarité</w:t>
      </w:r>
      <w:r w:rsidRPr="006778CB">
        <w:rPr>
          <w:rFonts w:asciiTheme="majorHAnsi" w:hAnsiTheme="majorHAnsi" w:cstheme="majorHAnsi"/>
        </w:rPr>
        <w:t xml:space="preserve"> qui sont les siennes. LHAC est aussi membre de l’Action progressiste et Laïque et du CNCD-11.11.11.</w:t>
      </w:r>
    </w:p>
    <w:p w:rsidR="00C50B22" w:rsidRPr="00C50B22" w:rsidRDefault="00C50B22" w:rsidP="006778CB">
      <w:pPr>
        <w:jc w:val="both"/>
        <w:rPr>
          <w:b/>
        </w:rPr>
      </w:pPr>
      <w:r w:rsidRPr="00C50B22">
        <w:rPr>
          <w:b/>
        </w:rPr>
        <w:t xml:space="preserve">Notre mission </w:t>
      </w:r>
    </w:p>
    <w:p w:rsidR="00C50B22" w:rsidRPr="006778CB" w:rsidRDefault="00C50B22" w:rsidP="006778CB">
      <w:pPr>
        <w:jc w:val="both"/>
        <w:rPr>
          <w:rFonts w:asciiTheme="majorHAnsi" w:hAnsiTheme="majorHAnsi" w:cstheme="majorHAnsi"/>
        </w:rPr>
      </w:pPr>
      <w:r>
        <w:t> </w:t>
      </w:r>
      <w:r w:rsidRPr="006778CB">
        <w:rPr>
          <w:rFonts w:asciiTheme="majorHAnsi" w:hAnsiTheme="majorHAnsi" w:cstheme="majorHAnsi"/>
        </w:rPr>
        <w:t>LHAC a pour spécificité de mettre en réseau et de faire travailler ensemble différents acteurs du monde laïque, en Belgique et à l’international, plus particulièrement dans ses relations de coopération en Afrique centrale.</w:t>
      </w:r>
    </w:p>
    <w:p w:rsidR="00C50B22" w:rsidRPr="006778CB" w:rsidRDefault="00C50B22" w:rsidP="006778CB">
      <w:pPr>
        <w:jc w:val="both"/>
        <w:rPr>
          <w:rFonts w:asciiTheme="majorHAnsi" w:hAnsiTheme="majorHAnsi" w:cstheme="majorHAnsi"/>
        </w:rPr>
      </w:pPr>
      <w:r w:rsidRPr="006778CB">
        <w:rPr>
          <w:rFonts w:asciiTheme="majorHAnsi" w:hAnsiTheme="majorHAnsi" w:cstheme="majorHAnsi"/>
        </w:rPr>
        <w:t> Trois axes : </w:t>
      </w:r>
    </w:p>
    <w:p w:rsidR="00C50B22" w:rsidRPr="006778CB" w:rsidRDefault="00C50B22" w:rsidP="006778CB">
      <w:pPr>
        <w:jc w:val="both"/>
        <w:rPr>
          <w:rFonts w:asciiTheme="majorHAnsi" w:hAnsiTheme="majorHAnsi" w:cstheme="majorHAnsi"/>
        </w:rPr>
      </w:pPr>
      <w:r w:rsidRPr="006778CB">
        <w:rPr>
          <w:rFonts w:asciiTheme="majorHAnsi" w:hAnsiTheme="majorHAnsi" w:cstheme="majorHAnsi"/>
        </w:rPr>
        <w:t>Une mission de promotion de la laïcité de manière spécifique :</w:t>
      </w:r>
    </w:p>
    <w:p w:rsidR="00C50B22" w:rsidRPr="006778CB" w:rsidRDefault="00C50B22" w:rsidP="00C02C8F">
      <w:pPr>
        <w:pStyle w:val="Paragraphedeliste"/>
        <w:numPr>
          <w:ilvl w:val="0"/>
          <w:numId w:val="2"/>
        </w:numPr>
        <w:jc w:val="both"/>
        <w:rPr>
          <w:rFonts w:asciiTheme="majorHAnsi" w:hAnsiTheme="majorHAnsi" w:cstheme="majorHAnsi"/>
        </w:rPr>
      </w:pPr>
      <w:r w:rsidRPr="006778CB">
        <w:rPr>
          <w:rFonts w:asciiTheme="majorHAnsi" w:hAnsiTheme="majorHAnsi" w:cstheme="majorHAnsi"/>
        </w:rPr>
        <w:t>Plaidoyer</w:t>
      </w:r>
      <w:r w:rsidR="00C02C8F">
        <w:rPr>
          <w:rFonts w:asciiTheme="majorHAnsi" w:hAnsiTheme="majorHAnsi" w:cstheme="majorHAnsi"/>
        </w:rPr>
        <w:t>, notamment pour</w:t>
      </w:r>
      <w:r w:rsidR="00C02C8F" w:rsidRPr="00C02C8F">
        <w:rPr>
          <w:rFonts w:asciiTheme="majorHAnsi" w:hAnsiTheme="majorHAnsi" w:cstheme="majorHAnsi"/>
        </w:rPr>
        <w:t xml:space="preserve"> un renforcement de la coopération au développement</w:t>
      </w:r>
      <w:r w:rsidRPr="006778CB">
        <w:rPr>
          <w:rFonts w:asciiTheme="majorHAnsi" w:hAnsiTheme="majorHAnsi" w:cstheme="majorHAnsi"/>
        </w:rPr>
        <w:t> ;</w:t>
      </w:r>
    </w:p>
    <w:p w:rsidR="00C50B22" w:rsidRPr="006778CB" w:rsidRDefault="00C50B22" w:rsidP="006778CB">
      <w:pPr>
        <w:pStyle w:val="Paragraphedeliste"/>
        <w:numPr>
          <w:ilvl w:val="0"/>
          <w:numId w:val="2"/>
        </w:numPr>
        <w:jc w:val="both"/>
        <w:rPr>
          <w:rFonts w:asciiTheme="majorHAnsi" w:hAnsiTheme="majorHAnsi" w:cstheme="majorHAnsi"/>
        </w:rPr>
      </w:pPr>
      <w:r w:rsidRPr="006778CB">
        <w:rPr>
          <w:rFonts w:asciiTheme="majorHAnsi" w:hAnsiTheme="majorHAnsi" w:cstheme="majorHAnsi"/>
        </w:rPr>
        <w:lastRenderedPageBreak/>
        <w:t>Renforcement de capacités de Maisons de la Laïcité ;</w:t>
      </w:r>
    </w:p>
    <w:p w:rsidR="00C50B22" w:rsidRPr="006778CB" w:rsidRDefault="00C50B22" w:rsidP="006778CB">
      <w:pPr>
        <w:pStyle w:val="Paragraphedeliste"/>
        <w:numPr>
          <w:ilvl w:val="0"/>
          <w:numId w:val="2"/>
        </w:numPr>
        <w:jc w:val="both"/>
        <w:rPr>
          <w:rFonts w:asciiTheme="majorHAnsi" w:hAnsiTheme="majorHAnsi" w:cstheme="majorHAnsi"/>
        </w:rPr>
      </w:pPr>
      <w:r w:rsidRPr="006778CB">
        <w:rPr>
          <w:rFonts w:asciiTheme="majorHAnsi" w:hAnsiTheme="majorHAnsi" w:cstheme="majorHAnsi"/>
        </w:rPr>
        <w:t>Mise en réseau des acteurs laïques comme un interlocuteur audible de la coopération en Belgique et au niveau européen ;</w:t>
      </w:r>
    </w:p>
    <w:p w:rsidR="00C50B22" w:rsidRPr="006778CB" w:rsidRDefault="00C50B22" w:rsidP="006778CB">
      <w:pPr>
        <w:pStyle w:val="Paragraphedeliste"/>
        <w:numPr>
          <w:ilvl w:val="0"/>
          <w:numId w:val="2"/>
        </w:numPr>
        <w:jc w:val="both"/>
        <w:rPr>
          <w:rFonts w:asciiTheme="majorHAnsi" w:hAnsiTheme="majorHAnsi" w:cstheme="majorHAnsi"/>
        </w:rPr>
      </w:pPr>
      <w:r w:rsidRPr="006778CB">
        <w:rPr>
          <w:rFonts w:asciiTheme="majorHAnsi" w:hAnsiTheme="majorHAnsi" w:cstheme="majorHAnsi"/>
        </w:rPr>
        <w:t>Veille sur le traitement de la laïcité dans la coopération ;</w:t>
      </w:r>
    </w:p>
    <w:p w:rsidR="00C50B22" w:rsidRPr="006778CB" w:rsidRDefault="00C50B22" w:rsidP="006778CB">
      <w:pPr>
        <w:pStyle w:val="Paragraphedeliste"/>
        <w:numPr>
          <w:ilvl w:val="0"/>
          <w:numId w:val="2"/>
        </w:numPr>
        <w:jc w:val="both"/>
        <w:rPr>
          <w:rFonts w:asciiTheme="majorHAnsi" w:hAnsiTheme="majorHAnsi" w:cstheme="majorHAnsi"/>
        </w:rPr>
      </w:pPr>
      <w:r w:rsidRPr="006778CB">
        <w:rPr>
          <w:rFonts w:asciiTheme="majorHAnsi" w:hAnsiTheme="majorHAnsi" w:cstheme="majorHAnsi"/>
        </w:rPr>
        <w:t>Programme de communication.</w:t>
      </w:r>
    </w:p>
    <w:p w:rsidR="00C50B22" w:rsidRPr="006778CB" w:rsidRDefault="00C50B22" w:rsidP="006778CB">
      <w:pPr>
        <w:jc w:val="both"/>
        <w:rPr>
          <w:rFonts w:asciiTheme="majorHAnsi" w:hAnsiTheme="majorHAnsi" w:cstheme="majorHAnsi"/>
        </w:rPr>
      </w:pPr>
      <w:r w:rsidRPr="006778CB">
        <w:rPr>
          <w:rFonts w:asciiTheme="majorHAnsi" w:hAnsiTheme="majorHAnsi" w:cstheme="majorHAnsi"/>
        </w:rPr>
        <w:t>Une mission de diffusion des valeurs laïques de manière transversale au niveau de l'enseignement public et dans le monde éducatif au sens large.</w:t>
      </w:r>
    </w:p>
    <w:p w:rsidR="00C50B22" w:rsidRPr="006778CB" w:rsidRDefault="00C50B22" w:rsidP="006778CB">
      <w:pPr>
        <w:pStyle w:val="Paragraphedeliste"/>
        <w:numPr>
          <w:ilvl w:val="0"/>
          <w:numId w:val="3"/>
        </w:numPr>
        <w:jc w:val="both"/>
        <w:rPr>
          <w:rFonts w:asciiTheme="majorHAnsi" w:hAnsiTheme="majorHAnsi" w:cstheme="majorHAnsi"/>
        </w:rPr>
      </w:pPr>
      <w:r w:rsidRPr="006778CB">
        <w:rPr>
          <w:rFonts w:asciiTheme="majorHAnsi" w:hAnsiTheme="majorHAnsi" w:cstheme="majorHAnsi"/>
        </w:rPr>
        <w:t>Au sein de l’enseignement public fondamental, secondaire et supérieur : par la formation, le soutien matériel, la promotion de la santé collective et la mise en réseau d'écoles d'Afrique centrale avec des écoles belges ;</w:t>
      </w:r>
    </w:p>
    <w:p w:rsidR="00C50B22" w:rsidRPr="006778CB" w:rsidRDefault="00C50B22" w:rsidP="006778CB">
      <w:pPr>
        <w:pStyle w:val="Paragraphedeliste"/>
        <w:numPr>
          <w:ilvl w:val="0"/>
          <w:numId w:val="3"/>
        </w:numPr>
        <w:jc w:val="both"/>
        <w:rPr>
          <w:rFonts w:asciiTheme="majorHAnsi" w:hAnsiTheme="majorHAnsi" w:cstheme="majorHAnsi"/>
        </w:rPr>
      </w:pPr>
      <w:r w:rsidRPr="006778CB">
        <w:rPr>
          <w:rFonts w:asciiTheme="majorHAnsi" w:hAnsiTheme="majorHAnsi" w:cstheme="majorHAnsi"/>
        </w:rPr>
        <w:t>Par des activités culturelles : accès aux cultures, formations, mise en réseau d'acteurs culturels et éducatifs ;</w:t>
      </w:r>
    </w:p>
    <w:p w:rsidR="00C50B22" w:rsidRPr="006778CB" w:rsidRDefault="00C50B22" w:rsidP="006778CB">
      <w:pPr>
        <w:pStyle w:val="Paragraphedeliste"/>
        <w:numPr>
          <w:ilvl w:val="0"/>
          <w:numId w:val="3"/>
        </w:numPr>
        <w:jc w:val="both"/>
        <w:rPr>
          <w:rFonts w:asciiTheme="majorHAnsi" w:hAnsiTheme="majorHAnsi" w:cstheme="majorHAnsi"/>
        </w:rPr>
      </w:pPr>
      <w:r w:rsidRPr="006778CB">
        <w:rPr>
          <w:rFonts w:asciiTheme="majorHAnsi" w:hAnsiTheme="majorHAnsi" w:cstheme="majorHAnsi"/>
        </w:rPr>
        <w:t>Par le soutien à l'Education à la Vie Relationnelle, Affective et Sexuelle ;</w:t>
      </w:r>
    </w:p>
    <w:p w:rsidR="00C50B22" w:rsidRPr="006778CB" w:rsidRDefault="00C50B22" w:rsidP="006778CB">
      <w:pPr>
        <w:pStyle w:val="Paragraphedeliste"/>
        <w:numPr>
          <w:ilvl w:val="0"/>
          <w:numId w:val="3"/>
        </w:numPr>
        <w:jc w:val="both"/>
        <w:rPr>
          <w:rFonts w:asciiTheme="majorHAnsi" w:hAnsiTheme="majorHAnsi" w:cstheme="majorHAnsi"/>
        </w:rPr>
      </w:pPr>
      <w:r w:rsidRPr="006778CB">
        <w:rPr>
          <w:rFonts w:asciiTheme="majorHAnsi" w:hAnsiTheme="majorHAnsi" w:cstheme="majorHAnsi"/>
        </w:rPr>
        <w:t>Par le renforcement de capacités des partenaires partageant la même mission ;</w:t>
      </w:r>
    </w:p>
    <w:p w:rsidR="00C50B22" w:rsidRPr="006778CB" w:rsidRDefault="00C50B22" w:rsidP="006778CB">
      <w:pPr>
        <w:pStyle w:val="Paragraphedeliste"/>
        <w:numPr>
          <w:ilvl w:val="0"/>
          <w:numId w:val="3"/>
        </w:numPr>
        <w:jc w:val="both"/>
        <w:rPr>
          <w:rFonts w:asciiTheme="majorHAnsi" w:hAnsiTheme="majorHAnsi" w:cstheme="majorHAnsi"/>
        </w:rPr>
      </w:pPr>
      <w:r w:rsidRPr="006778CB">
        <w:rPr>
          <w:rFonts w:asciiTheme="majorHAnsi" w:hAnsiTheme="majorHAnsi" w:cstheme="majorHAnsi"/>
        </w:rPr>
        <w:t>Par tout projet qui contribuerait à l’émancipation des femmes et des hommes et à la promotion des droits humains et des droits des citoyennes et citoyens.</w:t>
      </w:r>
    </w:p>
    <w:p w:rsidR="00C50B22" w:rsidRPr="006778CB" w:rsidRDefault="00C50B22" w:rsidP="006778CB">
      <w:pPr>
        <w:jc w:val="both"/>
        <w:rPr>
          <w:rFonts w:asciiTheme="majorHAnsi" w:hAnsiTheme="majorHAnsi" w:cstheme="majorHAnsi"/>
        </w:rPr>
      </w:pPr>
      <w:r w:rsidRPr="006778CB">
        <w:rPr>
          <w:rFonts w:asciiTheme="majorHAnsi" w:hAnsiTheme="majorHAnsi" w:cstheme="majorHAnsi"/>
        </w:rPr>
        <w:t xml:space="preserve">Une mission d’éducation à la citoyenneté mondiale et solidaire, notamment avec ses partenaires de l’Action progressiste et Laïque et Solidarité Laïque France. </w:t>
      </w:r>
    </w:p>
    <w:p w:rsidR="00C50B22" w:rsidRPr="006778CB" w:rsidRDefault="00C50B22" w:rsidP="006778CB">
      <w:pPr>
        <w:pStyle w:val="Paragraphedeliste"/>
        <w:numPr>
          <w:ilvl w:val="0"/>
          <w:numId w:val="4"/>
        </w:numPr>
        <w:jc w:val="both"/>
        <w:rPr>
          <w:rFonts w:asciiTheme="majorHAnsi" w:hAnsiTheme="majorHAnsi" w:cstheme="majorHAnsi"/>
        </w:rPr>
      </w:pPr>
      <w:r w:rsidRPr="006778CB">
        <w:rPr>
          <w:rFonts w:asciiTheme="majorHAnsi" w:hAnsiTheme="majorHAnsi" w:cstheme="majorHAnsi"/>
        </w:rPr>
        <w:t>Par des activités éducatives et créatives en milieu scolaire, axées sur la solidarité internationale, l’émancipation des citoyennes et citoyens et les droits humains.</w:t>
      </w:r>
    </w:p>
    <w:p w:rsidR="00B13AEF" w:rsidRDefault="00B13AEF" w:rsidP="006778CB">
      <w:pPr>
        <w:jc w:val="both"/>
      </w:pPr>
    </w:p>
    <w:p w:rsidR="00B13AEF" w:rsidRDefault="00B13AEF" w:rsidP="006778CB">
      <w:pPr>
        <w:pStyle w:val="Titre2"/>
        <w:numPr>
          <w:ilvl w:val="1"/>
          <w:numId w:val="1"/>
        </w:numPr>
        <w:jc w:val="both"/>
      </w:pPr>
      <w:bookmarkStart w:id="2" w:name="_Toc174543401"/>
      <w:r w:rsidRPr="00B13AEF">
        <w:t>Le programme quinquennal 2022-2026 de</w:t>
      </w:r>
      <w:r>
        <w:t xml:space="preserve"> LHAC</w:t>
      </w:r>
      <w:bookmarkEnd w:id="2"/>
    </w:p>
    <w:p w:rsidR="00B13AEF" w:rsidRPr="006778CB" w:rsidRDefault="0034272F" w:rsidP="006778CB">
      <w:pPr>
        <w:jc w:val="both"/>
        <w:rPr>
          <w:rFonts w:asciiTheme="majorHAnsi" w:hAnsiTheme="majorHAnsi" w:cstheme="majorHAnsi"/>
        </w:rPr>
      </w:pPr>
      <w:r w:rsidRPr="006778CB">
        <w:rPr>
          <w:rFonts w:asciiTheme="majorHAnsi" w:hAnsiTheme="majorHAnsi" w:cstheme="majorHAnsi"/>
        </w:rPr>
        <w:t>Programme </w:t>
      </w:r>
      <w:r w:rsidR="00B13AEF" w:rsidRPr="006778CB">
        <w:rPr>
          <w:rFonts w:asciiTheme="majorHAnsi" w:hAnsiTheme="majorHAnsi" w:cstheme="majorHAnsi"/>
        </w:rPr>
        <w:t>2022-2026 de </w:t>
      </w:r>
      <w:r w:rsidRPr="006778CB">
        <w:rPr>
          <w:rFonts w:asciiTheme="majorHAnsi" w:hAnsiTheme="majorHAnsi" w:cstheme="majorHAnsi"/>
        </w:rPr>
        <w:t>LHAC : « Programme d’éducation populaire pour le respect des droits des citoyennes et citoyens des 4 districts de la Ville de Kinshasa, en particulier des personnes les plus vulnérables : les femmes, les enfants et les personnes LGBTQI », cofinancé par</w:t>
      </w:r>
      <w:r w:rsidR="00B13AEF" w:rsidRPr="006778CB">
        <w:rPr>
          <w:rFonts w:asciiTheme="majorHAnsi" w:hAnsiTheme="majorHAnsi" w:cstheme="majorHAnsi"/>
        </w:rPr>
        <w:t> la Direction </w:t>
      </w:r>
      <w:r w:rsidRPr="006778CB">
        <w:rPr>
          <w:rFonts w:asciiTheme="majorHAnsi" w:hAnsiTheme="majorHAnsi" w:cstheme="majorHAnsi"/>
        </w:rPr>
        <w:t>générale </w:t>
      </w:r>
      <w:r w:rsidR="00B13AEF" w:rsidRPr="006778CB">
        <w:rPr>
          <w:rFonts w:asciiTheme="majorHAnsi" w:hAnsiTheme="majorHAnsi" w:cstheme="majorHAnsi"/>
        </w:rPr>
        <w:t>de la</w:t>
      </w:r>
      <w:r w:rsidR="00897C1E" w:rsidRPr="006778CB">
        <w:rPr>
          <w:rFonts w:asciiTheme="majorHAnsi" w:hAnsiTheme="majorHAnsi" w:cstheme="majorHAnsi"/>
        </w:rPr>
        <w:t xml:space="preserve"> </w:t>
      </w:r>
      <w:r w:rsidR="00B13AEF" w:rsidRPr="006778CB">
        <w:rPr>
          <w:rFonts w:asciiTheme="majorHAnsi" w:hAnsiTheme="majorHAnsi" w:cstheme="majorHAnsi"/>
        </w:rPr>
        <w:t>Coopération au Développement et Aide humanitaire belge (DGD)</w:t>
      </w:r>
      <w:r w:rsidRPr="006778CB">
        <w:rPr>
          <w:rFonts w:asciiTheme="majorHAnsi" w:hAnsiTheme="majorHAnsi" w:cstheme="majorHAnsi"/>
        </w:rPr>
        <w:t xml:space="preserve">. </w:t>
      </w:r>
    </w:p>
    <w:p w:rsidR="00B13AEF" w:rsidRDefault="00C419B3" w:rsidP="006778CB">
      <w:pPr>
        <w:pStyle w:val="Titre2"/>
        <w:numPr>
          <w:ilvl w:val="1"/>
          <w:numId w:val="1"/>
        </w:numPr>
        <w:jc w:val="both"/>
        <w:rPr>
          <w:rFonts w:eastAsia="Calibri"/>
        </w:rPr>
      </w:pPr>
      <w:bookmarkStart w:id="3" w:name="_Toc174543402"/>
      <w:r>
        <w:rPr>
          <w:rFonts w:eastAsia="Calibri"/>
        </w:rPr>
        <w:t>Description de l’</w:t>
      </w:r>
      <w:proofErr w:type="spellStart"/>
      <w:r>
        <w:rPr>
          <w:rFonts w:eastAsia="Calibri"/>
        </w:rPr>
        <w:t>outcome</w:t>
      </w:r>
      <w:bookmarkEnd w:id="3"/>
      <w:proofErr w:type="spellEnd"/>
    </w:p>
    <w:p w:rsidR="006778CB" w:rsidRDefault="00C419B3" w:rsidP="006778CB">
      <w:pPr>
        <w:shd w:val="clear" w:color="auto" w:fill="FFFFFF"/>
        <w:spacing w:before="280" w:after="280" w:line="240" w:lineRule="auto"/>
        <w:jc w:val="both"/>
        <w:rPr>
          <w:rFonts w:asciiTheme="majorHAnsi" w:hAnsiTheme="majorHAnsi"/>
        </w:rPr>
      </w:pPr>
      <w:r w:rsidRPr="006778CB">
        <w:rPr>
          <w:rFonts w:asciiTheme="majorHAnsi" w:hAnsiTheme="majorHAnsi"/>
        </w:rPr>
        <w:t>Ancré dans un partenariat fort avec le Maison de la Laïcité de Kinshasa et sur le partage d'une vision commune reposant sur les valeurs humanistes de la Laïcité et des droits universels, l'</w:t>
      </w:r>
      <w:proofErr w:type="spellStart"/>
      <w:r w:rsidRPr="006778CB">
        <w:rPr>
          <w:rFonts w:asciiTheme="majorHAnsi" w:hAnsiTheme="majorHAnsi"/>
        </w:rPr>
        <w:t>Outcome</w:t>
      </w:r>
      <w:proofErr w:type="spellEnd"/>
      <w:r w:rsidRPr="006778CB">
        <w:rPr>
          <w:rFonts w:asciiTheme="majorHAnsi" w:hAnsiTheme="majorHAnsi"/>
        </w:rPr>
        <w:t xml:space="preserve"> vise à développer un large programme d'éducation populaire dans les quartiers de Kinshasa et auprès des organisations non confessionnelles de la société civile (ONCSC).</w:t>
      </w:r>
      <w:r w:rsidRPr="006778CB">
        <w:rPr>
          <w:rFonts w:asciiTheme="majorHAnsi" w:hAnsiTheme="majorHAnsi"/>
        </w:rPr>
        <w:br/>
        <w:t>La laïcité est le principe humaniste qui fonde le régime des libertés et des droits humains sur l’impartialité du pouvoir civil démocratique dégagé de toute ingérence religieuse.</w:t>
      </w:r>
      <w:r w:rsidRPr="006778CB">
        <w:rPr>
          <w:rFonts w:asciiTheme="majorHAnsi" w:hAnsiTheme="majorHAnsi"/>
        </w:rPr>
        <w:br/>
        <w:t>Il oblige l’État de droit à assurer l’égalité, la solidarité et l’émancipation des citoyennes et citoyens par la diffusion des savoirs et l’exercice du libre examen. La Laïcité figure à l'article 1er de la Constitution congolaise.</w:t>
      </w:r>
      <w:r w:rsidRPr="006778CB">
        <w:rPr>
          <w:rFonts w:asciiTheme="majorHAnsi" w:hAnsiTheme="majorHAnsi"/>
        </w:rPr>
        <w:br/>
        <w:t>L'éducation populaire, processus de long terme visant à faire évoluer les individus et la société, permet aux individus, en appliquant le libre-examen, de se forger leur propre opinion sur la société et d'agir de manière individuelle et collective sur le monde qui les entoure. L’ambition de l’éducation populaire est de ne pas séparer l’action et l’analyse, de ne pas séparer celles et ceux qui font, celles et ceux qui réfléchissent, et celles et ceux qui décident.</w:t>
      </w:r>
    </w:p>
    <w:p w:rsidR="00C419B3" w:rsidRPr="006778CB" w:rsidRDefault="006778CB" w:rsidP="006778CB">
      <w:pPr>
        <w:shd w:val="clear" w:color="auto" w:fill="FFFFFF"/>
        <w:spacing w:before="280" w:after="280" w:line="240" w:lineRule="auto"/>
        <w:jc w:val="both"/>
        <w:rPr>
          <w:rFonts w:asciiTheme="majorHAnsi" w:hAnsiTheme="majorHAnsi"/>
        </w:rPr>
      </w:pPr>
      <w:r>
        <w:rPr>
          <w:rFonts w:asciiTheme="majorHAnsi" w:hAnsiTheme="majorHAnsi"/>
        </w:rPr>
        <w:lastRenderedPageBreak/>
        <w:t>L</w:t>
      </w:r>
      <w:r w:rsidR="00C419B3" w:rsidRPr="006778CB">
        <w:rPr>
          <w:rFonts w:asciiTheme="majorHAnsi" w:hAnsiTheme="majorHAnsi"/>
        </w:rPr>
        <w:t>a stratégie mise en place vise ainsi à informer et former les citoyennes et citoyens en particulier les plus vulnérables (enfants, jeunes, femmes, personnes LGBTQI+) afin de les rendre pleinement acteurs et actrices du changement de société qu'ils/elles souhaitent voir, pour une société plus libre, juste et inclusive.</w:t>
      </w:r>
      <w:r w:rsidR="00C419B3" w:rsidRPr="006778CB">
        <w:rPr>
          <w:rFonts w:asciiTheme="majorHAnsi" w:hAnsiTheme="majorHAnsi"/>
        </w:rPr>
        <w:br/>
        <w:t>La stratégie vise également le renforcement de capacités de la société civile non confessionnelle qui en tant que 3ème pouvoir sert de courroie de transmission entre les citoyennes et les citoyens et les responsables politiques.</w:t>
      </w:r>
    </w:p>
    <w:p w:rsidR="00B13AEF" w:rsidRDefault="00B13AEF" w:rsidP="006778CB">
      <w:pPr>
        <w:pStyle w:val="Titre1"/>
        <w:jc w:val="both"/>
        <w:rPr>
          <w:rFonts w:eastAsia="Calibri"/>
        </w:rPr>
      </w:pPr>
      <w:bookmarkStart w:id="4" w:name="_Toc174543403"/>
      <w:r w:rsidRPr="00B13AEF">
        <w:rPr>
          <w:rFonts w:eastAsia="Calibri"/>
        </w:rPr>
        <w:t>Enjeux de l’évaluation mi-parcours</w:t>
      </w:r>
      <w:bookmarkEnd w:id="4"/>
    </w:p>
    <w:p w:rsidR="00AE111A" w:rsidRDefault="00AE111A" w:rsidP="006778CB">
      <w:pPr>
        <w:pStyle w:val="Titre2"/>
        <w:jc w:val="both"/>
        <w:rPr>
          <w:rFonts w:eastAsia="Calibri"/>
        </w:rPr>
      </w:pPr>
      <w:bookmarkStart w:id="5" w:name="_Toc174543404"/>
      <w:r>
        <w:rPr>
          <w:rFonts w:eastAsia="Calibri"/>
        </w:rPr>
        <w:t>2.1. Justification</w:t>
      </w:r>
      <w:bookmarkEnd w:id="5"/>
    </w:p>
    <w:p w:rsidR="00AE111A" w:rsidRPr="00516F44" w:rsidRDefault="00AE111A" w:rsidP="006778CB">
      <w:pPr>
        <w:spacing w:before="240"/>
        <w:jc w:val="both"/>
        <w:rPr>
          <w:rFonts w:asciiTheme="majorHAnsi" w:hAnsiTheme="majorHAnsi"/>
        </w:rPr>
      </w:pPr>
      <w:r w:rsidRPr="00516F44">
        <w:rPr>
          <w:rFonts w:asciiTheme="majorHAnsi" w:hAnsiTheme="majorHAnsi"/>
        </w:rPr>
        <w:t xml:space="preserve">Conformément au cadre du bailleur du programme (DGD), l’évaluation </w:t>
      </w:r>
      <w:r>
        <w:rPr>
          <w:rFonts w:asciiTheme="majorHAnsi" w:hAnsiTheme="majorHAnsi"/>
        </w:rPr>
        <w:t xml:space="preserve">à mi-parcours </w:t>
      </w:r>
      <w:r w:rsidRPr="00516F44">
        <w:rPr>
          <w:rFonts w:asciiTheme="majorHAnsi" w:hAnsiTheme="majorHAnsi"/>
        </w:rPr>
        <w:t xml:space="preserve">du programme doit apprécier </w:t>
      </w:r>
      <w:r>
        <w:rPr>
          <w:rFonts w:asciiTheme="majorHAnsi" w:hAnsiTheme="majorHAnsi"/>
        </w:rPr>
        <w:t xml:space="preserve">l’objectif du programme et ses résultats </w:t>
      </w:r>
      <w:r w:rsidRPr="00516F44">
        <w:rPr>
          <w:rFonts w:asciiTheme="majorHAnsi" w:hAnsiTheme="majorHAnsi"/>
        </w:rPr>
        <w:t>au regard des critères du CAD (pertinence, efficacité, efficience et durabilité), ainsi que la prise en compte des thèmes transversaux que sont le Genre et l’Environnement, en considérant les ressources disponibles pour leur mise e</w:t>
      </w:r>
      <w:r>
        <w:rPr>
          <w:rFonts w:asciiTheme="majorHAnsi" w:hAnsiTheme="majorHAnsi"/>
        </w:rPr>
        <w:t>n œuvre</w:t>
      </w:r>
      <w:r w:rsidRPr="00516F44">
        <w:rPr>
          <w:rFonts w:asciiTheme="majorHAnsi" w:hAnsiTheme="majorHAnsi"/>
        </w:rPr>
        <w:t>. L’évaluation devra remplir les 3 objectifs qui lui sont fixés par le cadre règlementaire</w:t>
      </w:r>
      <w:r>
        <w:rPr>
          <w:rFonts w:asciiTheme="majorHAnsi" w:hAnsiTheme="majorHAnsi"/>
        </w:rPr>
        <w:t>,</w:t>
      </w:r>
      <w:r w:rsidRPr="00516F44">
        <w:rPr>
          <w:rFonts w:asciiTheme="majorHAnsi" w:hAnsiTheme="majorHAnsi"/>
        </w:rPr>
        <w:t xml:space="preserve"> à savoir la redevabilité, l’apprentissage et l’orientation stratégique.</w:t>
      </w:r>
    </w:p>
    <w:p w:rsidR="00AE111A" w:rsidRPr="00516F44" w:rsidRDefault="00AE111A" w:rsidP="006778CB">
      <w:pPr>
        <w:jc w:val="both"/>
        <w:rPr>
          <w:rFonts w:asciiTheme="majorHAnsi" w:hAnsiTheme="majorHAnsi"/>
        </w:rPr>
      </w:pPr>
      <w:r w:rsidRPr="00516F44">
        <w:rPr>
          <w:rFonts w:asciiTheme="majorHAnsi" w:hAnsiTheme="majorHAnsi"/>
        </w:rPr>
        <w:t>Pour cette évaluation,</w:t>
      </w:r>
      <w:r>
        <w:rPr>
          <w:rFonts w:asciiTheme="majorHAnsi" w:hAnsiTheme="majorHAnsi"/>
        </w:rPr>
        <w:t xml:space="preserve"> l’évaluateur·rice </w:t>
      </w:r>
      <w:r w:rsidRPr="00516F44">
        <w:rPr>
          <w:rFonts w:asciiTheme="majorHAnsi" w:hAnsiTheme="majorHAnsi"/>
        </w:rPr>
        <w:t xml:space="preserve">pourra se référer à la </w:t>
      </w:r>
      <w:r>
        <w:rPr>
          <w:rFonts w:asciiTheme="majorHAnsi" w:hAnsiTheme="majorHAnsi"/>
        </w:rPr>
        <w:t>Théorie du C</w:t>
      </w:r>
      <w:r w:rsidRPr="00516F44">
        <w:rPr>
          <w:rFonts w:asciiTheme="majorHAnsi" w:hAnsiTheme="majorHAnsi"/>
        </w:rPr>
        <w:t xml:space="preserve">hangement </w:t>
      </w:r>
      <w:r>
        <w:rPr>
          <w:rFonts w:asciiTheme="majorHAnsi" w:hAnsiTheme="majorHAnsi"/>
        </w:rPr>
        <w:t>(</w:t>
      </w:r>
      <w:proofErr w:type="spellStart"/>
      <w:r>
        <w:rPr>
          <w:rFonts w:asciiTheme="majorHAnsi" w:hAnsiTheme="majorHAnsi"/>
        </w:rPr>
        <w:t>ToC</w:t>
      </w:r>
      <w:proofErr w:type="spellEnd"/>
      <w:r>
        <w:rPr>
          <w:rFonts w:asciiTheme="majorHAnsi" w:hAnsiTheme="majorHAnsi"/>
        </w:rPr>
        <w:t xml:space="preserve">) </w:t>
      </w:r>
      <w:r w:rsidRPr="00516F44">
        <w:rPr>
          <w:rFonts w:asciiTheme="majorHAnsi" w:hAnsiTheme="majorHAnsi"/>
        </w:rPr>
        <w:t xml:space="preserve">explicitant les résultats recherchés. Il/elle sera </w:t>
      </w:r>
      <w:proofErr w:type="spellStart"/>
      <w:r w:rsidRPr="00516F44">
        <w:rPr>
          <w:rFonts w:asciiTheme="majorHAnsi" w:hAnsiTheme="majorHAnsi"/>
        </w:rPr>
        <w:t>attenti</w:t>
      </w:r>
      <w:r>
        <w:rPr>
          <w:rFonts w:asciiTheme="majorHAnsi" w:hAnsiTheme="majorHAnsi"/>
        </w:rPr>
        <w:t>f·</w:t>
      </w:r>
      <w:r w:rsidRPr="00516F44">
        <w:rPr>
          <w:rFonts w:asciiTheme="majorHAnsi" w:hAnsiTheme="majorHAnsi"/>
        </w:rPr>
        <w:t>ve</w:t>
      </w:r>
      <w:proofErr w:type="spellEnd"/>
      <w:r>
        <w:rPr>
          <w:rFonts w:asciiTheme="majorHAnsi" w:hAnsiTheme="majorHAnsi"/>
        </w:rPr>
        <w:t xml:space="preserve"> </w:t>
      </w:r>
      <w:r w:rsidRPr="00516F44">
        <w:rPr>
          <w:rFonts w:asciiTheme="majorHAnsi" w:hAnsiTheme="majorHAnsi"/>
        </w:rPr>
        <w:t xml:space="preserve">toutefois à bien centrer </w:t>
      </w:r>
      <w:r>
        <w:rPr>
          <w:rFonts w:asciiTheme="majorHAnsi" w:hAnsiTheme="majorHAnsi"/>
        </w:rPr>
        <w:t>l’</w:t>
      </w:r>
      <w:r w:rsidRPr="00516F44">
        <w:rPr>
          <w:rFonts w:asciiTheme="majorHAnsi" w:hAnsiTheme="majorHAnsi"/>
        </w:rPr>
        <w:t xml:space="preserve">analyse sur l’évaluation de la pertinence, de l’impact, de l’efficacité, de l’efficience et de la durabilité des résultats atteints conformément aux prescriptions du CAD. </w:t>
      </w:r>
    </w:p>
    <w:p w:rsidR="00AE111A" w:rsidRPr="00516F44" w:rsidRDefault="00AE111A" w:rsidP="006778CB">
      <w:pPr>
        <w:numPr>
          <w:ilvl w:val="0"/>
          <w:numId w:val="5"/>
        </w:numPr>
        <w:jc w:val="both"/>
        <w:rPr>
          <w:rFonts w:asciiTheme="majorHAnsi" w:hAnsiTheme="majorHAnsi"/>
        </w:rPr>
      </w:pPr>
      <w:r w:rsidRPr="00516F44">
        <w:rPr>
          <w:rFonts w:asciiTheme="majorHAnsi" w:hAnsiTheme="majorHAnsi"/>
        </w:rPr>
        <w:t xml:space="preserve">Pertinence : Degré d'adéquation d'une activité d'aide avec les besoins du groupe cible et les priorités du bénéficiaire. </w:t>
      </w:r>
    </w:p>
    <w:p w:rsidR="00AE111A" w:rsidRPr="00516F44" w:rsidRDefault="00AE111A" w:rsidP="006778CB">
      <w:pPr>
        <w:numPr>
          <w:ilvl w:val="0"/>
          <w:numId w:val="5"/>
        </w:numPr>
        <w:jc w:val="both"/>
        <w:rPr>
          <w:rFonts w:asciiTheme="majorHAnsi" w:hAnsiTheme="majorHAnsi"/>
        </w:rPr>
      </w:pPr>
      <w:r w:rsidRPr="00516F44">
        <w:rPr>
          <w:rFonts w:asciiTheme="majorHAnsi" w:hAnsiTheme="majorHAnsi"/>
        </w:rPr>
        <w:t xml:space="preserve">Efficacité : Degré de réalisation des objectifs d’une activité. </w:t>
      </w:r>
    </w:p>
    <w:p w:rsidR="00AE111A" w:rsidRPr="00516F44" w:rsidRDefault="00AE111A" w:rsidP="006778CB">
      <w:pPr>
        <w:numPr>
          <w:ilvl w:val="0"/>
          <w:numId w:val="5"/>
        </w:numPr>
        <w:jc w:val="both"/>
        <w:rPr>
          <w:rFonts w:asciiTheme="majorHAnsi" w:hAnsiTheme="majorHAnsi"/>
        </w:rPr>
      </w:pPr>
      <w:r w:rsidRPr="00516F44">
        <w:rPr>
          <w:rFonts w:asciiTheme="majorHAnsi" w:hAnsiTheme="majorHAnsi"/>
        </w:rPr>
        <w:t xml:space="preserve">Efficience : Rapport entre résultats - qualitatifs et quantitatifs - et ressources mises en œuvre pour les atteindre dans un temps donné. </w:t>
      </w:r>
    </w:p>
    <w:p w:rsidR="00AE111A" w:rsidRPr="00516F44" w:rsidRDefault="00AE111A" w:rsidP="006778CB">
      <w:pPr>
        <w:numPr>
          <w:ilvl w:val="0"/>
          <w:numId w:val="5"/>
        </w:numPr>
        <w:jc w:val="both"/>
        <w:rPr>
          <w:rFonts w:asciiTheme="majorHAnsi" w:hAnsiTheme="majorHAnsi"/>
        </w:rPr>
      </w:pPr>
      <w:r w:rsidRPr="00516F44">
        <w:rPr>
          <w:rFonts w:asciiTheme="majorHAnsi" w:hAnsiTheme="majorHAnsi"/>
        </w:rPr>
        <w:t xml:space="preserve">Durabilité : Mesure si les bénéfices résultant d’une action de développement peuvent perdurer après la fin de l’intervention. La durabilité est appréciée selon trois aspects : durabilité financière, durabilité sociale et transfert de connaissances / renforcement des capacités. </w:t>
      </w:r>
    </w:p>
    <w:p w:rsidR="00AE111A" w:rsidRDefault="00AE111A" w:rsidP="006778CB">
      <w:pPr>
        <w:numPr>
          <w:ilvl w:val="0"/>
          <w:numId w:val="5"/>
        </w:numPr>
        <w:spacing w:before="240"/>
        <w:jc w:val="both"/>
        <w:rPr>
          <w:rFonts w:asciiTheme="majorHAnsi" w:hAnsiTheme="majorHAnsi"/>
        </w:rPr>
      </w:pPr>
      <w:r w:rsidRPr="00516F44">
        <w:rPr>
          <w:rFonts w:asciiTheme="majorHAnsi" w:hAnsiTheme="majorHAnsi"/>
        </w:rPr>
        <w:t>Impact : Effets positifs et négatifs, directs ou indirects, intentionnels ou non, induits par une action de développement.</w:t>
      </w:r>
    </w:p>
    <w:p w:rsidR="00AE111A" w:rsidRDefault="00B13AEF" w:rsidP="00C02C8F">
      <w:pPr>
        <w:spacing w:before="240"/>
        <w:jc w:val="both"/>
        <w:rPr>
          <w:rFonts w:asciiTheme="majorHAnsi" w:hAnsiTheme="majorHAnsi"/>
        </w:rPr>
      </w:pPr>
      <w:r w:rsidRPr="00AE111A">
        <w:rPr>
          <w:rFonts w:asciiTheme="majorHAnsi" w:hAnsiTheme="majorHAnsi"/>
        </w:rPr>
        <w:t xml:space="preserve">Pour </w:t>
      </w:r>
      <w:r w:rsidR="00AE111A" w:rsidRPr="00AE111A">
        <w:rPr>
          <w:rFonts w:asciiTheme="majorHAnsi" w:hAnsiTheme="majorHAnsi"/>
        </w:rPr>
        <w:t>LHAC</w:t>
      </w:r>
      <w:r w:rsidRPr="00AE111A">
        <w:rPr>
          <w:rFonts w:asciiTheme="majorHAnsi" w:hAnsiTheme="majorHAnsi"/>
        </w:rPr>
        <w:t>, cette évaluation à mi-parcours</w:t>
      </w:r>
      <w:r w:rsidR="00C02C8F">
        <w:rPr>
          <w:rFonts w:asciiTheme="majorHAnsi" w:hAnsiTheme="majorHAnsi"/>
        </w:rPr>
        <w:t xml:space="preserve"> avec le partenaire MLK, </w:t>
      </w:r>
      <w:r w:rsidRPr="00AE111A">
        <w:rPr>
          <w:rFonts w:asciiTheme="majorHAnsi" w:hAnsiTheme="majorHAnsi"/>
        </w:rPr>
        <w:t xml:space="preserve">s’inscrit </w:t>
      </w:r>
      <w:r w:rsidR="00AE111A" w:rsidRPr="00AE111A">
        <w:rPr>
          <w:rFonts w:asciiTheme="majorHAnsi" w:hAnsiTheme="majorHAnsi"/>
        </w:rPr>
        <w:t xml:space="preserve">aussi </w:t>
      </w:r>
      <w:r w:rsidRPr="00AE111A">
        <w:rPr>
          <w:rFonts w:asciiTheme="majorHAnsi" w:hAnsiTheme="majorHAnsi"/>
        </w:rPr>
        <w:t xml:space="preserve">dans une logique d’apprentissage et d’aide à la décision. Elle devra permettre, d’une part, d’apprécier la qualité de la mise en œuvre du programme et le niveau de progression vers l’atteinte de ses résultats et objectifs, afin d’apporter des éléments sur d’éventuels ajustements ou adaptations nécessaires pour la seconde moitié du programme. D’autre part, elle doit permettre d’identifier les forces et faiblesses du programme actuel et d’en tirer des leçons, notamment en vue d’éclairer les choix sur les orientations à prendre pour le prochain programme. </w:t>
      </w:r>
    </w:p>
    <w:p w:rsidR="00B13AEF" w:rsidRPr="00AE111A" w:rsidRDefault="00B13AEF" w:rsidP="006778CB">
      <w:pPr>
        <w:spacing w:before="240"/>
        <w:jc w:val="both"/>
        <w:rPr>
          <w:rFonts w:asciiTheme="majorHAnsi" w:hAnsiTheme="majorHAnsi"/>
        </w:rPr>
      </w:pPr>
      <w:r w:rsidRPr="00AE111A">
        <w:rPr>
          <w:rFonts w:asciiTheme="majorHAnsi" w:hAnsiTheme="majorHAnsi"/>
        </w:rPr>
        <w:t xml:space="preserve">L’évaluation à mi-parcours relève d’une exigence du bailleur et sera dès lors transmise à la DGD. </w:t>
      </w:r>
    </w:p>
    <w:p w:rsidR="00B13AEF" w:rsidRPr="00AE111A" w:rsidRDefault="00B13AEF" w:rsidP="006778CB">
      <w:pPr>
        <w:spacing w:line="220" w:lineRule="exact"/>
        <w:ind w:right="-567"/>
        <w:jc w:val="both"/>
        <w:rPr>
          <w:rFonts w:asciiTheme="majorHAnsi" w:hAnsiTheme="majorHAnsi"/>
        </w:rPr>
      </w:pPr>
      <w:r w:rsidRPr="00AE111A">
        <w:rPr>
          <w:rFonts w:asciiTheme="majorHAnsi" w:hAnsiTheme="majorHAnsi"/>
        </w:rPr>
        <w:t xml:space="preserve">Cette évaluation à mi-parcours porte sur la période du 1er janvier 2022 au 30 juin 2024. </w:t>
      </w:r>
    </w:p>
    <w:p w:rsidR="00262160" w:rsidRDefault="00262160" w:rsidP="006778CB">
      <w:pPr>
        <w:pStyle w:val="Titre2"/>
        <w:jc w:val="both"/>
        <w:rPr>
          <w:rFonts w:eastAsia="Calibri"/>
        </w:rPr>
      </w:pPr>
      <w:bookmarkStart w:id="6" w:name="_Toc174543405"/>
      <w:r w:rsidRPr="00262160">
        <w:rPr>
          <w:rFonts w:eastAsia="Calibri"/>
        </w:rPr>
        <w:lastRenderedPageBreak/>
        <w:t>2.3. Destinataires</w:t>
      </w:r>
      <w:bookmarkEnd w:id="6"/>
      <w:r w:rsidRPr="00262160">
        <w:rPr>
          <w:rFonts w:eastAsia="Calibri"/>
        </w:rPr>
        <w:t xml:space="preserve"> </w:t>
      </w:r>
    </w:p>
    <w:p w:rsidR="00AE111A" w:rsidRPr="00AE111A" w:rsidRDefault="00AE111A" w:rsidP="006778CB">
      <w:pPr>
        <w:jc w:val="both"/>
      </w:pPr>
    </w:p>
    <w:p w:rsidR="00262160" w:rsidRPr="00AE111A" w:rsidRDefault="00262160" w:rsidP="00C02C8F">
      <w:pPr>
        <w:spacing w:line="220" w:lineRule="exact"/>
        <w:ind w:right="1"/>
        <w:jc w:val="both"/>
        <w:rPr>
          <w:rFonts w:asciiTheme="majorHAnsi" w:hAnsiTheme="majorHAnsi"/>
        </w:rPr>
      </w:pPr>
      <w:r w:rsidRPr="00AE111A">
        <w:rPr>
          <w:rFonts w:asciiTheme="majorHAnsi" w:hAnsiTheme="majorHAnsi"/>
        </w:rPr>
        <w:t xml:space="preserve">Les résultats de l’évaluation sont destinés à : </w:t>
      </w:r>
    </w:p>
    <w:p w:rsidR="00262160" w:rsidRPr="00AE111A" w:rsidRDefault="00262160" w:rsidP="00C02C8F">
      <w:pPr>
        <w:spacing w:line="220" w:lineRule="exact"/>
        <w:ind w:right="1"/>
        <w:jc w:val="both"/>
        <w:rPr>
          <w:rFonts w:asciiTheme="majorHAnsi" w:hAnsiTheme="majorHAnsi"/>
        </w:rPr>
      </w:pPr>
      <w:r w:rsidRPr="00AE111A">
        <w:rPr>
          <w:rFonts w:asciiTheme="majorHAnsi" w:hAnsiTheme="majorHAnsi"/>
        </w:rPr>
        <w:t xml:space="preserve">-     LHAC : ses instances, sa direction, son équipe de gestion des projets de coopération internationale ; </w:t>
      </w:r>
    </w:p>
    <w:p w:rsidR="00262160" w:rsidRPr="00AE111A" w:rsidRDefault="00262160" w:rsidP="00C02C8F">
      <w:pPr>
        <w:spacing w:line="220" w:lineRule="exact"/>
        <w:ind w:right="1"/>
        <w:jc w:val="both"/>
        <w:rPr>
          <w:rFonts w:asciiTheme="majorHAnsi" w:hAnsiTheme="majorHAnsi"/>
        </w:rPr>
      </w:pPr>
      <w:r w:rsidRPr="00AE111A">
        <w:rPr>
          <w:rFonts w:asciiTheme="majorHAnsi" w:hAnsiTheme="majorHAnsi"/>
        </w:rPr>
        <w:t xml:space="preserve">-     Les partenaires du programme : </w:t>
      </w:r>
      <w:r w:rsidR="00AE111A">
        <w:rPr>
          <w:rFonts w:asciiTheme="majorHAnsi" w:hAnsiTheme="majorHAnsi"/>
        </w:rPr>
        <w:t xml:space="preserve">MLK ; </w:t>
      </w:r>
      <w:r w:rsidRPr="00AE111A">
        <w:rPr>
          <w:rFonts w:asciiTheme="majorHAnsi" w:hAnsiTheme="majorHAnsi"/>
        </w:rPr>
        <w:t xml:space="preserve"> </w:t>
      </w:r>
    </w:p>
    <w:p w:rsidR="00262160" w:rsidRPr="00AE111A" w:rsidRDefault="00262160" w:rsidP="00C02C8F">
      <w:pPr>
        <w:spacing w:line="220" w:lineRule="exact"/>
        <w:ind w:right="1"/>
        <w:jc w:val="both"/>
        <w:rPr>
          <w:rFonts w:asciiTheme="majorHAnsi" w:hAnsiTheme="majorHAnsi"/>
        </w:rPr>
      </w:pPr>
      <w:r w:rsidRPr="00AE111A">
        <w:rPr>
          <w:rFonts w:asciiTheme="majorHAnsi" w:hAnsiTheme="majorHAnsi"/>
        </w:rPr>
        <w:t>-     La DGD (bailleur principal)</w:t>
      </w:r>
    </w:p>
    <w:p w:rsidR="00262160" w:rsidRPr="00262160" w:rsidRDefault="00262160" w:rsidP="00C02C8F">
      <w:pPr>
        <w:spacing w:line="220" w:lineRule="exact"/>
        <w:ind w:right="1"/>
        <w:jc w:val="both"/>
        <w:rPr>
          <w:rFonts w:ascii="Calibri" w:eastAsia="Calibri" w:hAnsi="Calibri" w:cs="Calibri"/>
          <w:color w:val="000000"/>
        </w:rPr>
      </w:pPr>
      <w:r w:rsidRPr="00262160">
        <w:rPr>
          <w:rFonts w:ascii="Calibri" w:eastAsia="Calibri" w:hAnsi="Calibri" w:cs="Calibri"/>
          <w:color w:val="000000"/>
        </w:rPr>
        <w:t xml:space="preserve"> </w:t>
      </w:r>
    </w:p>
    <w:p w:rsidR="00262160" w:rsidRPr="00AE111A" w:rsidRDefault="00262160" w:rsidP="00C02C8F">
      <w:pPr>
        <w:spacing w:line="220" w:lineRule="exact"/>
        <w:ind w:right="1"/>
        <w:jc w:val="both"/>
        <w:rPr>
          <w:rFonts w:asciiTheme="majorHAnsi" w:hAnsiTheme="majorHAnsi"/>
        </w:rPr>
      </w:pPr>
      <w:r w:rsidRPr="00AE111A">
        <w:rPr>
          <w:rFonts w:asciiTheme="majorHAnsi" w:hAnsiTheme="majorHAnsi"/>
        </w:rPr>
        <w:t xml:space="preserve">Les résultats de l’évaluation pourront par ailleurs être partagés avec d’autres partenaires de LHAC ainsi que d’autres bailleurs qui en feraient la demande. L’évaluation sera publiée dans un délai de trois mois suivant la réception du rapport final sur le site de LHAC. </w:t>
      </w:r>
    </w:p>
    <w:p w:rsidR="00262160" w:rsidRDefault="00262160" w:rsidP="00C02C8F">
      <w:pPr>
        <w:spacing w:line="220" w:lineRule="exact"/>
        <w:ind w:right="1"/>
        <w:jc w:val="both"/>
        <w:rPr>
          <w:rFonts w:ascii="Calibri" w:eastAsia="Calibri" w:hAnsi="Calibri" w:cs="Calibri"/>
          <w:color w:val="000000"/>
        </w:rPr>
      </w:pPr>
      <w:r w:rsidRPr="00262160">
        <w:rPr>
          <w:rFonts w:ascii="Calibri" w:eastAsia="Calibri" w:hAnsi="Calibri" w:cs="Calibri"/>
          <w:color w:val="000000"/>
        </w:rPr>
        <w:t xml:space="preserve"> </w:t>
      </w:r>
    </w:p>
    <w:p w:rsidR="00262160" w:rsidRPr="00B66957" w:rsidRDefault="00262160" w:rsidP="00C02C8F">
      <w:pPr>
        <w:pStyle w:val="Titre1"/>
        <w:ind w:right="1"/>
        <w:jc w:val="both"/>
        <w:rPr>
          <w:rFonts w:eastAsia="Calibri"/>
        </w:rPr>
      </w:pPr>
      <w:bookmarkStart w:id="7" w:name="_Toc174543406"/>
      <w:r w:rsidRPr="00B66957">
        <w:rPr>
          <w:rFonts w:eastAsia="Calibri"/>
        </w:rPr>
        <w:t>Contenu, méthodologie et pilotage</w:t>
      </w:r>
      <w:bookmarkEnd w:id="7"/>
      <w:r w:rsidRPr="00B66957">
        <w:rPr>
          <w:rFonts w:eastAsia="Calibri"/>
        </w:rPr>
        <w:t xml:space="preserve"> </w:t>
      </w:r>
    </w:p>
    <w:p w:rsidR="00262160" w:rsidRPr="00262160" w:rsidRDefault="00262160" w:rsidP="00C02C8F">
      <w:pPr>
        <w:pStyle w:val="Titre2"/>
        <w:ind w:right="1"/>
        <w:jc w:val="both"/>
        <w:rPr>
          <w:rFonts w:eastAsia="Calibri"/>
        </w:rPr>
      </w:pPr>
      <w:r w:rsidRPr="00262160">
        <w:rPr>
          <w:rFonts w:eastAsia="Calibri"/>
        </w:rPr>
        <w:t xml:space="preserve"> </w:t>
      </w:r>
      <w:bookmarkStart w:id="8" w:name="_Toc174543407"/>
      <w:r w:rsidRPr="00262160">
        <w:rPr>
          <w:rFonts w:eastAsia="Calibri"/>
        </w:rPr>
        <w:t>3.1. Questions évaluatives</w:t>
      </w:r>
      <w:bookmarkEnd w:id="8"/>
      <w:r w:rsidRPr="00262160">
        <w:rPr>
          <w:rFonts w:eastAsia="Calibri"/>
        </w:rPr>
        <w:t xml:space="preserve"> </w:t>
      </w:r>
    </w:p>
    <w:p w:rsidR="00262160" w:rsidRPr="00AE111A" w:rsidRDefault="00262160" w:rsidP="00C02C8F">
      <w:pPr>
        <w:spacing w:line="220" w:lineRule="exact"/>
        <w:ind w:right="1"/>
        <w:jc w:val="both"/>
        <w:rPr>
          <w:rFonts w:asciiTheme="majorHAnsi" w:hAnsiTheme="majorHAnsi"/>
        </w:rPr>
      </w:pPr>
      <w:r w:rsidRPr="00AE111A">
        <w:rPr>
          <w:rFonts w:asciiTheme="majorHAnsi" w:hAnsiTheme="majorHAnsi"/>
        </w:rPr>
        <w:t xml:space="preserve">Les questions d’évaluation formulées ci-dessous sont présentées à titre indicatif. En fonction des consultations initiales et de l’analyse des documents, </w:t>
      </w:r>
      <w:r w:rsidR="00AE111A">
        <w:rPr>
          <w:rFonts w:asciiTheme="majorHAnsi" w:hAnsiTheme="majorHAnsi"/>
        </w:rPr>
        <w:t xml:space="preserve">l’évaluateur·rice </w:t>
      </w:r>
      <w:r w:rsidRPr="00AE111A">
        <w:rPr>
          <w:rFonts w:asciiTheme="majorHAnsi" w:hAnsiTheme="majorHAnsi"/>
        </w:rPr>
        <w:t xml:space="preserve">adaptera et proposera un éventail complet et final de questions d’évaluation dans le rapport de démarrage. Une fois le rapport de démarrage approuvé, les questions d’évaluation deviendront contraignantes. </w:t>
      </w:r>
    </w:p>
    <w:p w:rsidR="00262160" w:rsidRPr="00AE111A" w:rsidRDefault="00262160" w:rsidP="00C02C8F">
      <w:pPr>
        <w:spacing w:line="220" w:lineRule="exact"/>
        <w:ind w:right="1"/>
        <w:jc w:val="both"/>
        <w:rPr>
          <w:rFonts w:asciiTheme="majorHAnsi" w:hAnsiTheme="majorHAnsi"/>
        </w:rPr>
      </w:pPr>
      <w:r w:rsidRPr="00AE111A">
        <w:rPr>
          <w:rFonts w:asciiTheme="majorHAnsi" w:hAnsiTheme="majorHAnsi"/>
        </w:rPr>
        <w:t xml:space="preserve">Les questions sont regroupées sous trois critères CAD de l’OCDE, à savoir l’efficacité, la cohérence et la durabilité. Les thématiques genre et approche droits </w:t>
      </w:r>
      <w:r w:rsidR="00AE111A">
        <w:rPr>
          <w:rFonts w:asciiTheme="majorHAnsi" w:hAnsiTheme="majorHAnsi"/>
        </w:rPr>
        <w:t xml:space="preserve">humains </w:t>
      </w:r>
      <w:r w:rsidRPr="00AE111A">
        <w:rPr>
          <w:rFonts w:asciiTheme="majorHAnsi" w:hAnsiTheme="majorHAnsi"/>
        </w:rPr>
        <w:t xml:space="preserve">seront par ailleurs examinées de manière transversale. </w:t>
      </w:r>
    </w:p>
    <w:p w:rsidR="00262160" w:rsidRPr="00AE111A" w:rsidRDefault="00262160" w:rsidP="00C02C8F">
      <w:pPr>
        <w:spacing w:line="220" w:lineRule="exact"/>
        <w:ind w:right="1"/>
        <w:jc w:val="both"/>
        <w:rPr>
          <w:rFonts w:asciiTheme="majorHAnsi" w:hAnsiTheme="majorHAnsi"/>
        </w:rPr>
      </w:pPr>
      <w:r w:rsidRPr="00AE111A">
        <w:rPr>
          <w:rFonts w:asciiTheme="majorHAnsi" w:hAnsiTheme="majorHAnsi"/>
        </w:rPr>
        <w:t xml:space="preserve"> </w:t>
      </w:r>
    </w:p>
    <w:p w:rsidR="00262160" w:rsidRPr="00AE111A" w:rsidRDefault="00262160" w:rsidP="00C02C8F">
      <w:pPr>
        <w:spacing w:line="220" w:lineRule="exact"/>
        <w:ind w:right="1"/>
        <w:jc w:val="both"/>
        <w:rPr>
          <w:rFonts w:asciiTheme="majorHAnsi" w:hAnsiTheme="majorHAnsi"/>
          <w:b/>
        </w:rPr>
      </w:pPr>
      <w:r w:rsidRPr="00AE111A">
        <w:rPr>
          <w:rFonts w:asciiTheme="majorHAnsi" w:hAnsiTheme="majorHAnsi"/>
          <w:b/>
        </w:rPr>
        <w:t xml:space="preserve">Efficacité : niveau d’atteinte des résultats planifiés </w:t>
      </w:r>
    </w:p>
    <w:p w:rsidR="00262160" w:rsidRPr="00AE111A" w:rsidRDefault="00262160" w:rsidP="00C02C8F">
      <w:pPr>
        <w:spacing w:line="220" w:lineRule="exact"/>
        <w:ind w:right="1"/>
        <w:jc w:val="both"/>
        <w:rPr>
          <w:rFonts w:asciiTheme="majorHAnsi" w:hAnsiTheme="majorHAnsi"/>
        </w:rPr>
      </w:pPr>
      <w:r w:rsidRPr="00AE111A">
        <w:rPr>
          <w:rFonts w:asciiTheme="majorHAnsi" w:hAnsiTheme="majorHAnsi"/>
        </w:rPr>
        <w:t xml:space="preserve"> </w:t>
      </w:r>
    </w:p>
    <w:p w:rsidR="006778CB" w:rsidRDefault="00262160" w:rsidP="00C02C8F">
      <w:pPr>
        <w:pStyle w:val="Paragraphedeliste"/>
        <w:numPr>
          <w:ilvl w:val="0"/>
          <w:numId w:val="6"/>
        </w:numPr>
        <w:spacing w:line="220" w:lineRule="exact"/>
        <w:ind w:right="1"/>
        <w:jc w:val="both"/>
        <w:rPr>
          <w:rFonts w:asciiTheme="majorHAnsi" w:hAnsiTheme="majorHAnsi"/>
        </w:rPr>
      </w:pPr>
      <w:r w:rsidRPr="006778CB">
        <w:rPr>
          <w:rFonts w:asciiTheme="majorHAnsi" w:hAnsiTheme="majorHAnsi"/>
        </w:rPr>
        <w:t xml:space="preserve">Quel est le niveau d’atteinte des résultats planifiés ? Quel est le degré de réalisation des indicateurs ? </w:t>
      </w:r>
    </w:p>
    <w:p w:rsidR="006778CB" w:rsidRDefault="006778CB" w:rsidP="00C02C8F">
      <w:pPr>
        <w:pStyle w:val="Paragraphedeliste"/>
        <w:spacing w:line="220" w:lineRule="exact"/>
        <w:ind w:right="1"/>
        <w:jc w:val="both"/>
        <w:rPr>
          <w:rFonts w:asciiTheme="majorHAnsi" w:hAnsiTheme="majorHAnsi"/>
        </w:rPr>
      </w:pPr>
    </w:p>
    <w:p w:rsidR="00262160" w:rsidRDefault="00262160" w:rsidP="00C02C8F">
      <w:pPr>
        <w:pStyle w:val="Paragraphedeliste"/>
        <w:numPr>
          <w:ilvl w:val="0"/>
          <w:numId w:val="6"/>
        </w:numPr>
        <w:spacing w:line="220" w:lineRule="exact"/>
        <w:ind w:right="1"/>
        <w:jc w:val="both"/>
        <w:rPr>
          <w:rFonts w:asciiTheme="majorHAnsi" w:hAnsiTheme="majorHAnsi"/>
        </w:rPr>
      </w:pPr>
      <w:r w:rsidRPr="006778CB">
        <w:rPr>
          <w:rFonts w:asciiTheme="majorHAnsi" w:hAnsiTheme="majorHAnsi"/>
        </w:rPr>
        <w:t xml:space="preserve">LHAC a-t-elle adopté et appliqué la bonne stratégie, la bonne méthodologie et les bons outils de gestion pour atteindre les résultats visés ? En particulier : </w:t>
      </w:r>
    </w:p>
    <w:p w:rsidR="006778CB" w:rsidRPr="006778CB" w:rsidRDefault="006778CB" w:rsidP="00C02C8F">
      <w:pPr>
        <w:pStyle w:val="Paragraphedeliste"/>
        <w:spacing w:line="220" w:lineRule="exact"/>
        <w:ind w:right="1"/>
        <w:jc w:val="both"/>
        <w:rPr>
          <w:rFonts w:asciiTheme="majorHAnsi" w:hAnsiTheme="majorHAnsi"/>
        </w:rPr>
      </w:pPr>
    </w:p>
    <w:p w:rsidR="00262160" w:rsidRPr="006778CB" w:rsidRDefault="00262160" w:rsidP="00C02C8F">
      <w:pPr>
        <w:pStyle w:val="Paragraphedeliste"/>
        <w:numPr>
          <w:ilvl w:val="0"/>
          <w:numId w:val="8"/>
        </w:numPr>
        <w:spacing w:line="220" w:lineRule="exact"/>
        <w:ind w:right="1"/>
        <w:jc w:val="both"/>
        <w:rPr>
          <w:rFonts w:asciiTheme="majorHAnsi" w:hAnsiTheme="majorHAnsi"/>
        </w:rPr>
      </w:pPr>
      <w:r w:rsidRPr="006778CB">
        <w:rPr>
          <w:rFonts w:asciiTheme="majorHAnsi" w:hAnsiTheme="majorHAnsi"/>
        </w:rPr>
        <w:t xml:space="preserve">Les actions de </w:t>
      </w:r>
      <w:r w:rsidR="006778CB" w:rsidRPr="006778CB">
        <w:rPr>
          <w:rFonts w:asciiTheme="majorHAnsi" w:hAnsiTheme="majorHAnsi"/>
        </w:rPr>
        <w:t xml:space="preserve">formation </w:t>
      </w:r>
      <w:r w:rsidRPr="006778CB">
        <w:rPr>
          <w:rFonts w:asciiTheme="majorHAnsi" w:hAnsiTheme="majorHAnsi"/>
        </w:rPr>
        <w:t xml:space="preserve">menées par </w:t>
      </w:r>
      <w:r w:rsidR="006778CB" w:rsidRPr="006778CB">
        <w:rPr>
          <w:rFonts w:asciiTheme="majorHAnsi" w:hAnsiTheme="majorHAnsi"/>
        </w:rPr>
        <w:t xml:space="preserve">l’équipe de la MLK </w:t>
      </w:r>
      <w:r w:rsidRPr="006778CB">
        <w:rPr>
          <w:rFonts w:asciiTheme="majorHAnsi" w:hAnsiTheme="majorHAnsi"/>
        </w:rPr>
        <w:t xml:space="preserve">sont-elles susceptibles d’avoir un impact en termes de </w:t>
      </w:r>
      <w:r w:rsidR="006778CB" w:rsidRPr="006778CB">
        <w:rPr>
          <w:rFonts w:asciiTheme="majorHAnsi" w:hAnsiTheme="majorHAnsi"/>
        </w:rPr>
        <w:t>renforcement de la société civile</w:t>
      </w:r>
      <w:r w:rsidRPr="006778CB">
        <w:rPr>
          <w:rFonts w:asciiTheme="majorHAnsi" w:hAnsiTheme="majorHAnsi"/>
        </w:rPr>
        <w:t>? Les thématiques abordées, les</w:t>
      </w:r>
      <w:r w:rsidR="006778CB" w:rsidRPr="006778CB">
        <w:rPr>
          <w:rFonts w:asciiTheme="majorHAnsi" w:hAnsiTheme="majorHAnsi"/>
        </w:rPr>
        <w:t xml:space="preserve"> </w:t>
      </w:r>
      <w:r w:rsidRPr="006778CB">
        <w:rPr>
          <w:rFonts w:asciiTheme="majorHAnsi" w:hAnsiTheme="majorHAnsi"/>
        </w:rPr>
        <w:t>méthodes utilisées et les acteur</w:t>
      </w:r>
      <w:r w:rsidR="006778CB" w:rsidRPr="006778CB">
        <w:rPr>
          <w:rFonts w:asciiTheme="majorHAnsi" w:hAnsiTheme="majorHAnsi"/>
        </w:rPr>
        <w:t>·rice·</w:t>
      </w:r>
      <w:r w:rsidRPr="006778CB">
        <w:rPr>
          <w:rFonts w:asciiTheme="majorHAnsi" w:hAnsiTheme="majorHAnsi"/>
        </w:rPr>
        <w:t xml:space="preserve">s ciblés sont-ils pertinents ? </w:t>
      </w:r>
    </w:p>
    <w:p w:rsidR="00262160" w:rsidRDefault="00262160" w:rsidP="00C02C8F">
      <w:pPr>
        <w:pStyle w:val="Paragraphedeliste"/>
        <w:numPr>
          <w:ilvl w:val="0"/>
          <w:numId w:val="8"/>
        </w:numPr>
        <w:spacing w:line="220" w:lineRule="exact"/>
        <w:ind w:right="1"/>
        <w:jc w:val="both"/>
        <w:rPr>
          <w:rFonts w:asciiTheme="majorHAnsi" w:hAnsiTheme="majorHAnsi"/>
        </w:rPr>
      </w:pPr>
      <w:r w:rsidRPr="006778CB">
        <w:rPr>
          <w:rFonts w:asciiTheme="majorHAnsi" w:hAnsiTheme="majorHAnsi"/>
        </w:rPr>
        <w:t>Le</w:t>
      </w:r>
      <w:r w:rsidR="006778CB" w:rsidRPr="006778CB">
        <w:rPr>
          <w:rFonts w:asciiTheme="majorHAnsi" w:hAnsiTheme="majorHAnsi"/>
        </w:rPr>
        <w:t xml:space="preserve"> travail mené avec les comités locaux et comités de quartiers </w:t>
      </w:r>
      <w:r w:rsidRPr="006778CB">
        <w:rPr>
          <w:rFonts w:asciiTheme="majorHAnsi" w:hAnsiTheme="majorHAnsi"/>
        </w:rPr>
        <w:t>répond-il aux besoins</w:t>
      </w:r>
      <w:r w:rsidR="006778CB">
        <w:rPr>
          <w:rFonts w:asciiTheme="majorHAnsi" w:hAnsiTheme="majorHAnsi"/>
        </w:rPr>
        <w:t xml:space="preserve"> exprimés et permet-il de renforcer ces groupes ? </w:t>
      </w:r>
    </w:p>
    <w:p w:rsidR="006778CB" w:rsidRDefault="006778CB" w:rsidP="00C02C8F">
      <w:pPr>
        <w:pStyle w:val="Paragraphedeliste"/>
        <w:numPr>
          <w:ilvl w:val="0"/>
          <w:numId w:val="8"/>
        </w:numPr>
        <w:spacing w:line="220" w:lineRule="exact"/>
        <w:ind w:right="1"/>
        <w:jc w:val="both"/>
        <w:rPr>
          <w:rFonts w:asciiTheme="majorHAnsi" w:hAnsiTheme="majorHAnsi"/>
        </w:rPr>
      </w:pPr>
      <w:r>
        <w:rPr>
          <w:rFonts w:asciiTheme="majorHAnsi" w:hAnsiTheme="majorHAnsi"/>
        </w:rPr>
        <w:t xml:space="preserve">Les activités développées dans le cadre scolaire a-t-il un impact sur le système de démocratie interne au sein des écoles concernées ? </w:t>
      </w:r>
    </w:p>
    <w:p w:rsidR="006778CB" w:rsidRPr="006778CB" w:rsidRDefault="006778CB" w:rsidP="00C02C8F">
      <w:pPr>
        <w:pStyle w:val="Paragraphedeliste"/>
        <w:numPr>
          <w:ilvl w:val="0"/>
          <w:numId w:val="8"/>
        </w:numPr>
        <w:spacing w:line="220" w:lineRule="exact"/>
        <w:ind w:right="1"/>
        <w:jc w:val="both"/>
        <w:rPr>
          <w:rFonts w:asciiTheme="majorHAnsi" w:hAnsiTheme="majorHAnsi"/>
        </w:rPr>
      </w:pPr>
      <w:r>
        <w:rPr>
          <w:rFonts w:asciiTheme="majorHAnsi" w:hAnsiTheme="majorHAnsi"/>
        </w:rPr>
        <w:t xml:space="preserve">La stratégie d’action mise en place par le Centre de planning familial est-elle suffisamment définie et permet-elle d’apporter un réel changement pour les partenaires ? </w:t>
      </w:r>
    </w:p>
    <w:p w:rsidR="00262160" w:rsidRPr="006778CB" w:rsidRDefault="00262160" w:rsidP="00C02C8F">
      <w:pPr>
        <w:spacing w:line="220" w:lineRule="exact"/>
        <w:ind w:right="1"/>
        <w:jc w:val="both"/>
        <w:rPr>
          <w:rFonts w:ascii="Calibri" w:eastAsia="Calibri" w:hAnsi="Calibri" w:cs="Calibri"/>
          <w:color w:val="000000"/>
        </w:rPr>
      </w:pPr>
    </w:p>
    <w:p w:rsidR="006778CB" w:rsidRDefault="00262160" w:rsidP="00C02C8F">
      <w:pPr>
        <w:pStyle w:val="Paragraphedeliste"/>
        <w:numPr>
          <w:ilvl w:val="0"/>
          <w:numId w:val="9"/>
        </w:numPr>
        <w:spacing w:line="220" w:lineRule="exact"/>
        <w:ind w:right="1"/>
        <w:jc w:val="both"/>
        <w:rPr>
          <w:rFonts w:asciiTheme="majorHAnsi" w:hAnsiTheme="majorHAnsi"/>
        </w:rPr>
      </w:pPr>
      <w:r w:rsidRPr="006778CB">
        <w:rPr>
          <w:rFonts w:asciiTheme="majorHAnsi" w:hAnsiTheme="majorHAnsi"/>
        </w:rPr>
        <w:t>Les outils de gestion de projet (cadres logiques, indicateurs, théorie du changement,</w:t>
      </w:r>
      <w:r w:rsidR="006778CB" w:rsidRPr="006778CB">
        <w:rPr>
          <w:rFonts w:asciiTheme="majorHAnsi" w:hAnsiTheme="majorHAnsi"/>
        </w:rPr>
        <w:t xml:space="preserve"> </w:t>
      </w:r>
      <w:r w:rsidRPr="006778CB">
        <w:rPr>
          <w:rFonts w:asciiTheme="majorHAnsi" w:hAnsiTheme="majorHAnsi"/>
        </w:rPr>
        <w:t>etc</w:t>
      </w:r>
      <w:r w:rsidR="006778CB" w:rsidRPr="006778CB">
        <w:rPr>
          <w:rFonts w:asciiTheme="majorHAnsi" w:hAnsiTheme="majorHAnsi"/>
        </w:rPr>
        <w:t>.</w:t>
      </w:r>
      <w:r w:rsidRPr="006778CB">
        <w:rPr>
          <w:rFonts w:asciiTheme="majorHAnsi" w:hAnsiTheme="majorHAnsi"/>
        </w:rPr>
        <w:t>) sont-ils adaptés et ont-ils fait l’objet d’une appropriation suffisamment bonne par les équipes de gestion de projets au siège et chez le partenaire?  Y a-t-il des</w:t>
      </w:r>
      <w:r w:rsidR="006778CB" w:rsidRPr="006778CB">
        <w:rPr>
          <w:rFonts w:asciiTheme="majorHAnsi" w:hAnsiTheme="majorHAnsi"/>
        </w:rPr>
        <w:t xml:space="preserve"> </w:t>
      </w:r>
      <w:r w:rsidRPr="006778CB">
        <w:rPr>
          <w:rFonts w:asciiTheme="majorHAnsi" w:hAnsiTheme="majorHAnsi"/>
        </w:rPr>
        <w:t xml:space="preserve">améliorations à apporter ? </w:t>
      </w:r>
    </w:p>
    <w:p w:rsidR="006778CB" w:rsidRDefault="006778CB" w:rsidP="00C02C8F">
      <w:pPr>
        <w:pStyle w:val="Paragraphedeliste"/>
        <w:spacing w:line="220" w:lineRule="exact"/>
        <w:ind w:right="1"/>
        <w:jc w:val="both"/>
        <w:rPr>
          <w:rFonts w:asciiTheme="majorHAnsi" w:hAnsiTheme="majorHAnsi"/>
        </w:rPr>
      </w:pPr>
    </w:p>
    <w:p w:rsidR="00E272FE" w:rsidRDefault="00262160" w:rsidP="00C02C8F">
      <w:pPr>
        <w:pStyle w:val="Paragraphedeliste"/>
        <w:numPr>
          <w:ilvl w:val="0"/>
          <w:numId w:val="9"/>
        </w:numPr>
        <w:spacing w:line="220" w:lineRule="exact"/>
        <w:ind w:right="1"/>
        <w:jc w:val="both"/>
        <w:rPr>
          <w:rFonts w:ascii="Calibri" w:eastAsia="Calibri" w:hAnsi="Calibri" w:cs="Calibri"/>
          <w:color w:val="000000"/>
        </w:rPr>
      </w:pPr>
      <w:r w:rsidRPr="006778CB">
        <w:rPr>
          <w:rFonts w:asciiTheme="majorHAnsi" w:hAnsiTheme="majorHAnsi"/>
        </w:rPr>
        <w:t>Quelles sont les adaptations nécessaires pour améliorer la probabilité d’atteinte de l’objectif</w:t>
      </w:r>
      <w:r w:rsidR="006778CB">
        <w:rPr>
          <w:rFonts w:asciiTheme="majorHAnsi" w:hAnsiTheme="majorHAnsi"/>
        </w:rPr>
        <w:t xml:space="preserve"> </w:t>
      </w:r>
      <w:r w:rsidRPr="006778CB">
        <w:rPr>
          <w:rFonts w:asciiTheme="majorHAnsi" w:hAnsiTheme="majorHAnsi"/>
        </w:rPr>
        <w:t>spécifique ?</w:t>
      </w:r>
      <w:r w:rsidRPr="006778CB">
        <w:rPr>
          <w:rFonts w:ascii="Calibri" w:eastAsia="Calibri" w:hAnsi="Calibri" w:cs="Calibri"/>
          <w:color w:val="000000"/>
        </w:rPr>
        <w:t xml:space="preserve"> </w:t>
      </w:r>
    </w:p>
    <w:p w:rsidR="00E272FE" w:rsidRPr="00E272FE" w:rsidRDefault="00E272FE" w:rsidP="00C02C8F">
      <w:pPr>
        <w:pStyle w:val="Paragraphedeliste"/>
        <w:ind w:right="1"/>
        <w:rPr>
          <w:rFonts w:asciiTheme="majorHAnsi" w:hAnsiTheme="majorHAnsi"/>
        </w:rPr>
      </w:pPr>
    </w:p>
    <w:p w:rsidR="00E272FE" w:rsidRPr="00E272FE" w:rsidRDefault="00262160" w:rsidP="00C02C8F">
      <w:pPr>
        <w:pStyle w:val="Paragraphedeliste"/>
        <w:numPr>
          <w:ilvl w:val="0"/>
          <w:numId w:val="9"/>
        </w:numPr>
        <w:spacing w:line="220" w:lineRule="exact"/>
        <w:ind w:right="1"/>
        <w:jc w:val="both"/>
        <w:rPr>
          <w:rFonts w:ascii="Calibri" w:eastAsia="Calibri" w:hAnsi="Calibri" w:cs="Calibri"/>
          <w:color w:val="000000"/>
        </w:rPr>
      </w:pPr>
      <w:r w:rsidRPr="00E272FE">
        <w:rPr>
          <w:rFonts w:asciiTheme="majorHAnsi" w:hAnsiTheme="majorHAnsi"/>
        </w:rPr>
        <w:t>Les résultats atteints, ou à atteindre, sont-ils susceptibles de mener aux changements souhaités dans le Théorie du Changement de l’</w:t>
      </w:r>
      <w:proofErr w:type="spellStart"/>
      <w:r w:rsidRPr="00E272FE">
        <w:rPr>
          <w:rFonts w:asciiTheme="majorHAnsi" w:hAnsiTheme="majorHAnsi"/>
        </w:rPr>
        <w:t>Outcome</w:t>
      </w:r>
      <w:proofErr w:type="spellEnd"/>
      <w:r w:rsidRPr="00E272FE">
        <w:rPr>
          <w:rFonts w:asciiTheme="majorHAnsi" w:hAnsiTheme="majorHAnsi"/>
        </w:rPr>
        <w:t xml:space="preserve"> ?</w:t>
      </w:r>
    </w:p>
    <w:p w:rsidR="00E272FE" w:rsidRPr="00E272FE" w:rsidRDefault="00E272FE" w:rsidP="00C02C8F">
      <w:pPr>
        <w:pStyle w:val="Paragraphedeliste"/>
        <w:ind w:right="1"/>
        <w:rPr>
          <w:rFonts w:asciiTheme="majorHAnsi" w:hAnsiTheme="majorHAnsi"/>
        </w:rPr>
      </w:pPr>
    </w:p>
    <w:p w:rsidR="00262160" w:rsidRPr="00E272FE" w:rsidRDefault="00262160" w:rsidP="00C02C8F">
      <w:pPr>
        <w:spacing w:line="220" w:lineRule="exact"/>
        <w:ind w:right="1"/>
        <w:jc w:val="both"/>
        <w:rPr>
          <w:rFonts w:asciiTheme="majorHAnsi" w:hAnsiTheme="majorHAnsi"/>
          <w:b/>
        </w:rPr>
      </w:pPr>
      <w:r w:rsidRPr="00E272FE">
        <w:rPr>
          <w:rFonts w:asciiTheme="majorHAnsi" w:hAnsiTheme="majorHAnsi"/>
          <w:b/>
        </w:rPr>
        <w:lastRenderedPageBreak/>
        <w:t xml:space="preserve">Durabilité/ viabilité :  degré de probabilité de préserver et </w:t>
      </w:r>
      <w:r w:rsidR="00E272FE" w:rsidRPr="00E272FE">
        <w:rPr>
          <w:rFonts w:asciiTheme="majorHAnsi" w:hAnsiTheme="majorHAnsi"/>
          <w:b/>
        </w:rPr>
        <w:t>reproduire l</w:t>
      </w:r>
      <w:r w:rsidRPr="00E272FE">
        <w:rPr>
          <w:rFonts w:asciiTheme="majorHAnsi" w:hAnsiTheme="majorHAnsi"/>
          <w:b/>
        </w:rPr>
        <w:t>es bénéfices de</w:t>
      </w:r>
      <w:r w:rsidR="00E272FE" w:rsidRPr="00E272FE">
        <w:rPr>
          <w:rFonts w:asciiTheme="majorHAnsi" w:hAnsiTheme="majorHAnsi"/>
          <w:b/>
        </w:rPr>
        <w:t xml:space="preserve"> </w:t>
      </w:r>
      <w:r w:rsidRPr="00E272FE">
        <w:rPr>
          <w:rFonts w:asciiTheme="majorHAnsi" w:hAnsiTheme="majorHAnsi"/>
          <w:b/>
        </w:rPr>
        <w:t>l’intervention sur le long terme</w:t>
      </w:r>
      <w:r w:rsidR="00E272FE" w:rsidRPr="00E272FE">
        <w:rPr>
          <w:rFonts w:asciiTheme="majorHAnsi" w:hAnsiTheme="majorHAnsi"/>
          <w:b/>
        </w:rPr>
        <w:t>.</w:t>
      </w:r>
      <w:r w:rsidRPr="00E272FE">
        <w:rPr>
          <w:rFonts w:asciiTheme="majorHAnsi" w:hAnsiTheme="majorHAnsi"/>
          <w:b/>
        </w:rPr>
        <w:t xml:space="preserve"> </w:t>
      </w:r>
    </w:p>
    <w:p w:rsidR="00E272FE" w:rsidRDefault="00E272FE" w:rsidP="00C02C8F">
      <w:pPr>
        <w:pStyle w:val="Paragraphedeliste"/>
        <w:numPr>
          <w:ilvl w:val="0"/>
          <w:numId w:val="10"/>
        </w:numPr>
        <w:spacing w:line="220" w:lineRule="exact"/>
        <w:ind w:right="1"/>
        <w:jc w:val="both"/>
        <w:rPr>
          <w:rFonts w:asciiTheme="majorHAnsi" w:hAnsiTheme="majorHAnsi"/>
        </w:rPr>
      </w:pPr>
      <w:r>
        <w:rPr>
          <w:rFonts w:asciiTheme="majorHAnsi" w:hAnsiTheme="majorHAnsi"/>
        </w:rPr>
        <w:t>Les actions</w:t>
      </w:r>
      <w:r w:rsidR="00262160" w:rsidRPr="00E272FE">
        <w:rPr>
          <w:rFonts w:asciiTheme="majorHAnsi" w:hAnsiTheme="majorHAnsi"/>
        </w:rPr>
        <w:t xml:space="preserve"> en termes de renforcement des capacités (techniques,</w:t>
      </w:r>
      <w:r w:rsidRPr="00E272FE">
        <w:rPr>
          <w:rFonts w:asciiTheme="majorHAnsi" w:hAnsiTheme="majorHAnsi"/>
        </w:rPr>
        <w:t xml:space="preserve"> </w:t>
      </w:r>
      <w:r w:rsidR="00262160" w:rsidRPr="00E272FE">
        <w:rPr>
          <w:rFonts w:asciiTheme="majorHAnsi" w:hAnsiTheme="majorHAnsi"/>
        </w:rPr>
        <w:t xml:space="preserve">opérationnelles, </w:t>
      </w:r>
      <w:r>
        <w:rPr>
          <w:rFonts w:asciiTheme="majorHAnsi" w:hAnsiTheme="majorHAnsi"/>
        </w:rPr>
        <w:t>i</w:t>
      </w:r>
      <w:r w:rsidR="00262160" w:rsidRPr="00E272FE">
        <w:rPr>
          <w:rFonts w:asciiTheme="majorHAnsi" w:hAnsiTheme="majorHAnsi"/>
        </w:rPr>
        <w:t xml:space="preserve">nstitutionnelles) des acteurs permettront-elles de favoriser la viabilité de l’intervention ? </w:t>
      </w:r>
    </w:p>
    <w:p w:rsidR="00E272FE" w:rsidRDefault="00E272FE" w:rsidP="00C02C8F">
      <w:pPr>
        <w:pStyle w:val="Paragraphedeliste"/>
        <w:spacing w:line="220" w:lineRule="exact"/>
        <w:ind w:right="1"/>
        <w:jc w:val="both"/>
        <w:rPr>
          <w:rFonts w:asciiTheme="majorHAnsi" w:hAnsiTheme="majorHAnsi"/>
        </w:rPr>
      </w:pPr>
    </w:p>
    <w:p w:rsidR="00262160" w:rsidRPr="00E272FE" w:rsidRDefault="00262160" w:rsidP="00C02C8F">
      <w:pPr>
        <w:pStyle w:val="Paragraphedeliste"/>
        <w:numPr>
          <w:ilvl w:val="0"/>
          <w:numId w:val="10"/>
        </w:numPr>
        <w:spacing w:line="220" w:lineRule="exact"/>
        <w:ind w:right="1"/>
        <w:jc w:val="both"/>
        <w:rPr>
          <w:rFonts w:asciiTheme="majorHAnsi" w:hAnsiTheme="majorHAnsi"/>
        </w:rPr>
      </w:pPr>
      <w:r w:rsidRPr="00E272FE">
        <w:rPr>
          <w:rFonts w:asciiTheme="majorHAnsi" w:hAnsiTheme="majorHAnsi"/>
        </w:rPr>
        <w:t xml:space="preserve">La stratégie déployée en termes de sensibilisation </w:t>
      </w:r>
      <w:r w:rsidR="00E272FE">
        <w:rPr>
          <w:rFonts w:asciiTheme="majorHAnsi" w:hAnsiTheme="majorHAnsi"/>
        </w:rPr>
        <w:t xml:space="preserve">et de formation </w:t>
      </w:r>
      <w:r w:rsidRPr="00E272FE">
        <w:rPr>
          <w:rFonts w:asciiTheme="majorHAnsi" w:hAnsiTheme="majorHAnsi"/>
        </w:rPr>
        <w:t>permet-elle de garantir une</w:t>
      </w:r>
      <w:r w:rsidR="00E272FE">
        <w:rPr>
          <w:rFonts w:asciiTheme="majorHAnsi" w:hAnsiTheme="majorHAnsi"/>
        </w:rPr>
        <w:t xml:space="preserve"> </w:t>
      </w:r>
      <w:r w:rsidRPr="00E272FE">
        <w:rPr>
          <w:rFonts w:asciiTheme="majorHAnsi" w:hAnsiTheme="majorHAnsi"/>
        </w:rPr>
        <w:t xml:space="preserve">durabilité sociale des actions ? </w:t>
      </w:r>
    </w:p>
    <w:p w:rsidR="00262160" w:rsidRPr="00E272FE" w:rsidRDefault="00262160" w:rsidP="00C02C8F">
      <w:pPr>
        <w:pStyle w:val="Paragraphedeliste"/>
        <w:spacing w:line="220" w:lineRule="exact"/>
        <w:ind w:right="1"/>
        <w:jc w:val="both"/>
        <w:rPr>
          <w:rFonts w:asciiTheme="majorHAnsi" w:hAnsiTheme="majorHAnsi"/>
        </w:rPr>
      </w:pPr>
      <w:r w:rsidRPr="00E272FE">
        <w:rPr>
          <w:rFonts w:asciiTheme="majorHAnsi" w:hAnsiTheme="majorHAnsi"/>
        </w:rPr>
        <w:t xml:space="preserve"> </w:t>
      </w:r>
    </w:p>
    <w:p w:rsidR="00262160" w:rsidRPr="00E272FE" w:rsidRDefault="00262160" w:rsidP="00C02C8F">
      <w:pPr>
        <w:pStyle w:val="Paragraphedeliste"/>
        <w:numPr>
          <w:ilvl w:val="0"/>
          <w:numId w:val="10"/>
        </w:numPr>
        <w:spacing w:line="220" w:lineRule="exact"/>
        <w:ind w:right="1"/>
        <w:jc w:val="both"/>
        <w:rPr>
          <w:rFonts w:asciiTheme="majorHAnsi" w:hAnsiTheme="majorHAnsi"/>
        </w:rPr>
      </w:pPr>
      <w:r w:rsidRPr="00E272FE">
        <w:rPr>
          <w:rFonts w:asciiTheme="majorHAnsi" w:hAnsiTheme="majorHAnsi"/>
        </w:rPr>
        <w:t>Le programme offre-t-il des pistes pour renforcer la durabilité financière et l’autonomisation</w:t>
      </w:r>
      <w:r w:rsidR="00E272FE">
        <w:rPr>
          <w:rFonts w:asciiTheme="majorHAnsi" w:hAnsiTheme="majorHAnsi"/>
        </w:rPr>
        <w:t xml:space="preserve"> </w:t>
      </w:r>
      <w:r w:rsidRPr="00E272FE">
        <w:rPr>
          <w:rFonts w:asciiTheme="majorHAnsi" w:hAnsiTheme="majorHAnsi"/>
        </w:rPr>
        <w:t>d</w:t>
      </w:r>
      <w:r w:rsidR="00E272FE">
        <w:rPr>
          <w:rFonts w:asciiTheme="majorHAnsi" w:hAnsiTheme="majorHAnsi"/>
        </w:rPr>
        <w:t>u</w:t>
      </w:r>
      <w:r w:rsidRPr="00E272FE">
        <w:rPr>
          <w:rFonts w:asciiTheme="majorHAnsi" w:hAnsiTheme="majorHAnsi"/>
        </w:rPr>
        <w:t xml:space="preserve"> partenaire ? </w:t>
      </w:r>
    </w:p>
    <w:p w:rsidR="00262160" w:rsidRPr="00E272FE" w:rsidRDefault="00E272FE" w:rsidP="00C02C8F">
      <w:pPr>
        <w:spacing w:line="220" w:lineRule="exact"/>
        <w:ind w:right="1"/>
        <w:jc w:val="both"/>
        <w:rPr>
          <w:rFonts w:ascii="Calibri" w:eastAsia="Calibri" w:hAnsi="Calibri" w:cs="Calibri"/>
          <w:b/>
          <w:color w:val="000000"/>
        </w:rPr>
      </w:pPr>
      <w:r w:rsidRPr="00E272FE">
        <w:rPr>
          <w:rFonts w:ascii="Calibri" w:eastAsia="Calibri" w:hAnsi="Calibri" w:cs="Calibri"/>
          <w:b/>
          <w:color w:val="000000"/>
        </w:rPr>
        <w:t>C</w:t>
      </w:r>
      <w:r w:rsidR="00262160" w:rsidRPr="00E272FE">
        <w:rPr>
          <w:rFonts w:ascii="Calibri" w:eastAsia="Calibri" w:hAnsi="Calibri" w:cs="Calibri"/>
          <w:b/>
          <w:color w:val="000000"/>
        </w:rPr>
        <w:t xml:space="preserve">ohérence : complémentarité avec d’autres intervention menées </w:t>
      </w:r>
    </w:p>
    <w:p w:rsidR="00262160" w:rsidRPr="00262160" w:rsidRDefault="00262160" w:rsidP="00C02C8F">
      <w:pPr>
        <w:spacing w:line="220" w:lineRule="exact"/>
        <w:ind w:right="1"/>
        <w:jc w:val="both"/>
        <w:rPr>
          <w:rFonts w:ascii="Calibri" w:eastAsia="Calibri" w:hAnsi="Calibri" w:cs="Calibri"/>
          <w:color w:val="000000"/>
        </w:rPr>
      </w:pPr>
      <w:r w:rsidRPr="00262160">
        <w:rPr>
          <w:rFonts w:ascii="Calibri" w:eastAsia="Calibri" w:hAnsi="Calibri" w:cs="Calibri"/>
          <w:color w:val="000000"/>
        </w:rPr>
        <w:t xml:space="preserve"> </w:t>
      </w:r>
    </w:p>
    <w:p w:rsidR="00262160" w:rsidRPr="00E272FE" w:rsidRDefault="00262160" w:rsidP="00C02C8F">
      <w:pPr>
        <w:spacing w:line="220" w:lineRule="exact"/>
        <w:ind w:right="1"/>
        <w:jc w:val="both"/>
        <w:rPr>
          <w:rFonts w:asciiTheme="majorHAnsi" w:hAnsiTheme="majorHAnsi"/>
        </w:rPr>
      </w:pPr>
    </w:p>
    <w:p w:rsidR="00262160" w:rsidRPr="00E272FE" w:rsidRDefault="00262160" w:rsidP="00C02C8F">
      <w:pPr>
        <w:pStyle w:val="Paragraphedeliste"/>
        <w:numPr>
          <w:ilvl w:val="0"/>
          <w:numId w:val="10"/>
        </w:numPr>
        <w:spacing w:line="220" w:lineRule="exact"/>
        <w:ind w:left="709" w:right="1"/>
        <w:jc w:val="both"/>
        <w:rPr>
          <w:rFonts w:asciiTheme="majorHAnsi" w:hAnsiTheme="majorHAnsi"/>
        </w:rPr>
      </w:pPr>
      <w:r w:rsidRPr="00E272FE">
        <w:rPr>
          <w:rFonts w:asciiTheme="majorHAnsi" w:hAnsiTheme="majorHAnsi"/>
        </w:rPr>
        <w:t xml:space="preserve">Les interventions menées s’intègrent-elles bien dans les dispositifs existants </w:t>
      </w:r>
      <w:r w:rsidR="00E272FE" w:rsidRPr="00E272FE">
        <w:rPr>
          <w:rFonts w:asciiTheme="majorHAnsi" w:hAnsiTheme="majorHAnsi"/>
        </w:rPr>
        <w:t xml:space="preserve">en matière de promotion des droits humains et de la démocratie </w:t>
      </w:r>
      <w:r w:rsidRPr="00E272FE">
        <w:rPr>
          <w:rFonts w:asciiTheme="majorHAnsi" w:hAnsiTheme="majorHAnsi"/>
        </w:rPr>
        <w:t xml:space="preserve">? </w:t>
      </w:r>
    </w:p>
    <w:p w:rsidR="00262160" w:rsidRPr="00E272FE" w:rsidRDefault="00262160" w:rsidP="00C02C8F">
      <w:pPr>
        <w:pStyle w:val="Paragraphedeliste"/>
        <w:numPr>
          <w:ilvl w:val="0"/>
          <w:numId w:val="10"/>
        </w:numPr>
        <w:spacing w:line="220" w:lineRule="exact"/>
        <w:ind w:left="709" w:right="1"/>
        <w:jc w:val="both"/>
        <w:rPr>
          <w:rFonts w:asciiTheme="majorHAnsi" w:hAnsiTheme="majorHAnsi"/>
        </w:rPr>
      </w:pPr>
      <w:r w:rsidRPr="00E272FE">
        <w:rPr>
          <w:rFonts w:asciiTheme="majorHAnsi" w:hAnsiTheme="majorHAnsi"/>
        </w:rPr>
        <w:t>Les synergies nouées avec d’autres acteurs (belges et locaux) de la société civile et avec les</w:t>
      </w:r>
      <w:r w:rsidR="00E272FE" w:rsidRPr="00E272FE">
        <w:rPr>
          <w:rFonts w:asciiTheme="majorHAnsi" w:hAnsiTheme="majorHAnsi"/>
        </w:rPr>
        <w:t xml:space="preserve"> </w:t>
      </w:r>
      <w:r w:rsidRPr="00E272FE">
        <w:rPr>
          <w:rFonts w:asciiTheme="majorHAnsi" w:hAnsiTheme="majorHAnsi"/>
        </w:rPr>
        <w:t>autorités officielles sont-elles effectives ? Sont-elles poursuivies dans une réelle logique de</w:t>
      </w:r>
      <w:r w:rsidR="00E272FE">
        <w:rPr>
          <w:rFonts w:asciiTheme="majorHAnsi" w:hAnsiTheme="majorHAnsi"/>
        </w:rPr>
        <w:t xml:space="preserve"> </w:t>
      </w:r>
      <w:r w:rsidRPr="00E272FE">
        <w:rPr>
          <w:rFonts w:asciiTheme="majorHAnsi" w:hAnsiTheme="majorHAnsi"/>
        </w:rPr>
        <w:t xml:space="preserve">complémentarité permettant d’atteindre les objectifs visés ? </w:t>
      </w:r>
    </w:p>
    <w:p w:rsidR="00262160" w:rsidRPr="00262160" w:rsidRDefault="00262160" w:rsidP="00C02C8F">
      <w:pPr>
        <w:spacing w:line="220" w:lineRule="exact"/>
        <w:ind w:right="1"/>
        <w:jc w:val="both"/>
        <w:rPr>
          <w:rFonts w:ascii="Calibri" w:eastAsia="Calibri" w:hAnsi="Calibri" w:cs="Calibri"/>
          <w:color w:val="000000"/>
        </w:rPr>
      </w:pPr>
      <w:r w:rsidRPr="00E272FE">
        <w:rPr>
          <w:rFonts w:asciiTheme="majorHAnsi" w:hAnsiTheme="majorHAnsi"/>
        </w:rPr>
        <w:t xml:space="preserve"> </w:t>
      </w:r>
    </w:p>
    <w:p w:rsidR="00262160" w:rsidRPr="00E272FE" w:rsidRDefault="00262160" w:rsidP="00C02C8F">
      <w:pPr>
        <w:spacing w:line="220" w:lineRule="exact"/>
        <w:ind w:right="1"/>
        <w:jc w:val="both"/>
        <w:rPr>
          <w:rFonts w:ascii="Calibri" w:eastAsia="Calibri" w:hAnsi="Calibri" w:cs="Calibri"/>
          <w:b/>
          <w:color w:val="000000"/>
        </w:rPr>
      </w:pPr>
      <w:r w:rsidRPr="00E272FE">
        <w:rPr>
          <w:rFonts w:ascii="Calibri" w:eastAsia="Calibri" w:hAnsi="Calibri" w:cs="Calibri"/>
          <w:b/>
          <w:color w:val="000000"/>
        </w:rPr>
        <w:t>T</w:t>
      </w:r>
      <w:r w:rsidR="00E272FE" w:rsidRPr="00E272FE">
        <w:rPr>
          <w:rFonts w:ascii="Calibri" w:eastAsia="Calibri" w:hAnsi="Calibri" w:cs="Calibri"/>
          <w:b/>
          <w:color w:val="000000"/>
        </w:rPr>
        <w:t>hème</w:t>
      </w:r>
      <w:r w:rsidRPr="00E272FE">
        <w:rPr>
          <w:rFonts w:ascii="Calibri" w:eastAsia="Calibri" w:hAnsi="Calibri" w:cs="Calibri"/>
          <w:b/>
          <w:color w:val="000000"/>
        </w:rPr>
        <w:t xml:space="preserve"> transversa</w:t>
      </w:r>
      <w:r w:rsidR="00E272FE" w:rsidRPr="00E272FE">
        <w:rPr>
          <w:rFonts w:ascii="Calibri" w:eastAsia="Calibri" w:hAnsi="Calibri" w:cs="Calibri"/>
          <w:b/>
          <w:color w:val="000000"/>
        </w:rPr>
        <w:t>l</w:t>
      </w:r>
      <w:r w:rsidRPr="00E272FE">
        <w:rPr>
          <w:rFonts w:ascii="Calibri" w:eastAsia="Calibri" w:hAnsi="Calibri" w:cs="Calibri"/>
          <w:b/>
          <w:color w:val="000000"/>
        </w:rPr>
        <w:t xml:space="preserve"> : Genre </w:t>
      </w:r>
    </w:p>
    <w:p w:rsidR="00262160" w:rsidRPr="00E272FE" w:rsidRDefault="00262160" w:rsidP="00C02C8F">
      <w:pPr>
        <w:spacing w:line="220" w:lineRule="exact"/>
        <w:ind w:right="1"/>
        <w:jc w:val="both"/>
        <w:rPr>
          <w:rFonts w:asciiTheme="majorHAnsi" w:hAnsiTheme="majorHAnsi"/>
        </w:rPr>
      </w:pPr>
      <w:r w:rsidRPr="00E272FE">
        <w:rPr>
          <w:rFonts w:asciiTheme="majorHAnsi" w:hAnsiTheme="majorHAnsi"/>
        </w:rPr>
        <w:t>L</w:t>
      </w:r>
      <w:r w:rsidR="00E272FE" w:rsidRPr="00E272FE">
        <w:rPr>
          <w:rFonts w:asciiTheme="majorHAnsi" w:hAnsiTheme="majorHAnsi"/>
        </w:rPr>
        <w:t xml:space="preserve">a dimension de </w:t>
      </w:r>
      <w:r w:rsidRPr="00E272FE">
        <w:rPr>
          <w:rFonts w:asciiTheme="majorHAnsi" w:hAnsiTheme="majorHAnsi"/>
        </w:rPr>
        <w:t>Genre</w:t>
      </w:r>
      <w:r w:rsidR="00E272FE" w:rsidRPr="00E272FE">
        <w:rPr>
          <w:rFonts w:asciiTheme="majorHAnsi" w:hAnsiTheme="majorHAnsi"/>
        </w:rPr>
        <w:t xml:space="preserve"> doit </w:t>
      </w:r>
      <w:r w:rsidRPr="00E272FE">
        <w:rPr>
          <w:rFonts w:asciiTheme="majorHAnsi" w:hAnsiTheme="majorHAnsi"/>
        </w:rPr>
        <w:t>être abordée de manière transversale sous les trois</w:t>
      </w:r>
      <w:r w:rsidR="00E272FE" w:rsidRPr="00E272FE">
        <w:rPr>
          <w:rFonts w:asciiTheme="majorHAnsi" w:hAnsiTheme="majorHAnsi"/>
        </w:rPr>
        <w:t xml:space="preserve"> </w:t>
      </w:r>
      <w:r w:rsidRPr="00E272FE">
        <w:rPr>
          <w:rFonts w:asciiTheme="majorHAnsi" w:hAnsiTheme="majorHAnsi"/>
        </w:rPr>
        <w:t>critères d’évaluation. Les questions présentées ci-dessous peuvent servir de base pour orienter les</w:t>
      </w:r>
      <w:r w:rsidR="00E272FE" w:rsidRPr="00E272FE">
        <w:rPr>
          <w:rFonts w:asciiTheme="majorHAnsi" w:hAnsiTheme="majorHAnsi"/>
        </w:rPr>
        <w:t xml:space="preserve"> </w:t>
      </w:r>
      <w:r w:rsidRPr="00E272FE">
        <w:rPr>
          <w:rFonts w:asciiTheme="majorHAnsi" w:hAnsiTheme="majorHAnsi"/>
        </w:rPr>
        <w:t xml:space="preserve">réflexions sur ces thématiques et pourront être adaptées en fonction des questions évaluatives finales retenues. </w:t>
      </w:r>
    </w:p>
    <w:p w:rsidR="00E272FE" w:rsidRPr="00C54CD3" w:rsidRDefault="00262160" w:rsidP="00C02C8F">
      <w:pPr>
        <w:pStyle w:val="Paragraphedeliste"/>
        <w:numPr>
          <w:ilvl w:val="0"/>
          <w:numId w:val="11"/>
        </w:numPr>
        <w:spacing w:line="220" w:lineRule="exact"/>
        <w:ind w:right="1"/>
        <w:jc w:val="both"/>
        <w:rPr>
          <w:rFonts w:asciiTheme="majorHAnsi" w:eastAsia="Calibri" w:hAnsiTheme="majorHAnsi" w:cstheme="majorHAnsi"/>
          <w:color w:val="000000"/>
        </w:rPr>
      </w:pPr>
      <w:r w:rsidRPr="00C54CD3">
        <w:rPr>
          <w:rFonts w:asciiTheme="majorHAnsi" w:eastAsia="Calibri" w:hAnsiTheme="majorHAnsi" w:cstheme="majorHAnsi"/>
          <w:color w:val="000000"/>
        </w:rPr>
        <w:t>Les interventions bénéficient-elles équitablement aux hommes et aux femmes, aux</w:t>
      </w:r>
      <w:r w:rsidR="00E272FE" w:rsidRPr="00C54CD3">
        <w:rPr>
          <w:rFonts w:asciiTheme="majorHAnsi" w:eastAsia="Calibri" w:hAnsiTheme="majorHAnsi" w:cstheme="majorHAnsi"/>
          <w:color w:val="000000"/>
        </w:rPr>
        <w:t xml:space="preserve"> </w:t>
      </w:r>
      <w:r w:rsidRPr="00C54CD3">
        <w:rPr>
          <w:rFonts w:asciiTheme="majorHAnsi" w:eastAsia="Calibri" w:hAnsiTheme="majorHAnsi" w:cstheme="majorHAnsi"/>
          <w:color w:val="000000"/>
        </w:rPr>
        <w:t>garçons et aux filles ?</w:t>
      </w:r>
    </w:p>
    <w:p w:rsidR="00E272FE" w:rsidRPr="00C54CD3" w:rsidRDefault="00262160" w:rsidP="00C02C8F">
      <w:pPr>
        <w:pStyle w:val="Paragraphedeliste"/>
        <w:numPr>
          <w:ilvl w:val="0"/>
          <w:numId w:val="11"/>
        </w:numPr>
        <w:spacing w:line="220" w:lineRule="exact"/>
        <w:ind w:right="1"/>
        <w:jc w:val="both"/>
        <w:rPr>
          <w:rFonts w:asciiTheme="majorHAnsi" w:eastAsia="Calibri" w:hAnsiTheme="majorHAnsi" w:cstheme="majorHAnsi"/>
          <w:color w:val="000000"/>
        </w:rPr>
      </w:pPr>
      <w:r w:rsidRPr="00C54CD3">
        <w:rPr>
          <w:rFonts w:asciiTheme="majorHAnsi" w:eastAsia="Calibri" w:hAnsiTheme="majorHAnsi" w:cstheme="majorHAnsi"/>
          <w:color w:val="000000"/>
        </w:rPr>
        <w:t>La stratégie déployée, la méthodologie et les outils utilisés sont-ils adéquats pour</w:t>
      </w:r>
      <w:r w:rsidR="00E272FE" w:rsidRPr="00C54CD3">
        <w:rPr>
          <w:rFonts w:asciiTheme="majorHAnsi" w:eastAsia="Calibri" w:hAnsiTheme="majorHAnsi" w:cstheme="majorHAnsi"/>
          <w:color w:val="000000"/>
        </w:rPr>
        <w:t xml:space="preserve"> </w:t>
      </w:r>
      <w:r w:rsidRPr="00C54CD3">
        <w:rPr>
          <w:rFonts w:asciiTheme="majorHAnsi" w:eastAsia="Calibri" w:hAnsiTheme="majorHAnsi" w:cstheme="majorHAnsi"/>
          <w:color w:val="000000"/>
        </w:rPr>
        <w:t xml:space="preserve">favoriser une meilleure prise en compte de la dimension genre ? </w:t>
      </w:r>
    </w:p>
    <w:p w:rsidR="00262160" w:rsidRPr="00262160" w:rsidRDefault="00262160" w:rsidP="00C02C8F">
      <w:pPr>
        <w:pStyle w:val="Titre2"/>
        <w:ind w:right="1"/>
        <w:jc w:val="both"/>
        <w:rPr>
          <w:rFonts w:eastAsia="Calibri"/>
        </w:rPr>
      </w:pPr>
      <w:bookmarkStart w:id="9" w:name="_Toc174543408"/>
      <w:r w:rsidRPr="00262160">
        <w:rPr>
          <w:rFonts w:eastAsia="Calibri"/>
        </w:rPr>
        <w:t>3.2. Méthodologie</w:t>
      </w:r>
      <w:bookmarkEnd w:id="9"/>
      <w:r w:rsidRPr="00262160">
        <w:rPr>
          <w:rFonts w:eastAsia="Calibri"/>
        </w:rPr>
        <w:t xml:space="preserve"> </w:t>
      </w:r>
    </w:p>
    <w:p w:rsidR="00262160" w:rsidRPr="00C54CD3" w:rsidRDefault="00262160" w:rsidP="00C02C8F">
      <w:pPr>
        <w:spacing w:line="220" w:lineRule="exact"/>
        <w:ind w:right="1"/>
        <w:jc w:val="both"/>
        <w:rPr>
          <w:rFonts w:asciiTheme="majorHAnsi" w:eastAsia="Calibri" w:hAnsiTheme="majorHAnsi" w:cstheme="majorHAnsi"/>
          <w:color w:val="000000"/>
        </w:rPr>
      </w:pPr>
      <w:r w:rsidRPr="00C54CD3">
        <w:rPr>
          <w:rFonts w:asciiTheme="majorHAnsi" w:eastAsia="Calibri" w:hAnsiTheme="majorHAnsi" w:cstheme="majorHAnsi"/>
          <w:color w:val="000000"/>
        </w:rPr>
        <w:t xml:space="preserve">Le choix de la méthodologie et les approches à utiliser sont laissés à l’évaluateur·rice. Néanmoins, il est attendu que le processus d’évaluation tienne compte des exigences suivantes : </w:t>
      </w:r>
    </w:p>
    <w:p w:rsidR="00262160" w:rsidRPr="00C54CD3" w:rsidRDefault="00262160" w:rsidP="00C02C8F">
      <w:pPr>
        <w:spacing w:line="220" w:lineRule="exact"/>
        <w:ind w:right="1"/>
        <w:jc w:val="both"/>
        <w:rPr>
          <w:rFonts w:asciiTheme="majorHAnsi" w:eastAsia="Calibri" w:hAnsiTheme="majorHAnsi" w:cstheme="majorHAnsi"/>
          <w:color w:val="000000"/>
        </w:rPr>
      </w:pPr>
      <w:r w:rsidRPr="00C54CD3">
        <w:rPr>
          <w:rFonts w:asciiTheme="majorHAnsi" w:eastAsia="Calibri" w:hAnsiTheme="majorHAnsi" w:cstheme="majorHAnsi"/>
          <w:color w:val="000000"/>
        </w:rPr>
        <w:t xml:space="preserve"> </w:t>
      </w:r>
    </w:p>
    <w:p w:rsidR="00262160" w:rsidRPr="00C54CD3" w:rsidRDefault="00262160" w:rsidP="00C02C8F">
      <w:pPr>
        <w:spacing w:line="220" w:lineRule="exact"/>
        <w:ind w:right="1"/>
        <w:jc w:val="both"/>
        <w:rPr>
          <w:rFonts w:asciiTheme="majorHAnsi" w:eastAsia="Calibri" w:hAnsiTheme="majorHAnsi" w:cstheme="majorHAnsi"/>
          <w:color w:val="000000"/>
        </w:rPr>
      </w:pPr>
      <w:r w:rsidRPr="00C54CD3">
        <w:rPr>
          <w:rFonts w:asciiTheme="majorHAnsi" w:eastAsia="Calibri" w:hAnsiTheme="majorHAnsi" w:cstheme="majorHAnsi"/>
          <w:color w:val="000000"/>
        </w:rPr>
        <w:t xml:space="preserve">- Que le processus d’évaluation soit participatif et qu’il inclue toutes les parties prenantes clés identifiées (partenaire, groupes cibles, bénéficiaires, équipes de gestion de projet) dans la collecte des données ; </w:t>
      </w:r>
    </w:p>
    <w:p w:rsidR="00262160" w:rsidRPr="00C54CD3" w:rsidRDefault="00262160" w:rsidP="00C02C8F">
      <w:pPr>
        <w:spacing w:line="220" w:lineRule="exact"/>
        <w:ind w:right="1"/>
        <w:jc w:val="both"/>
        <w:rPr>
          <w:rFonts w:asciiTheme="majorHAnsi" w:eastAsia="Calibri" w:hAnsiTheme="majorHAnsi" w:cstheme="majorHAnsi"/>
          <w:color w:val="000000"/>
        </w:rPr>
      </w:pPr>
      <w:r w:rsidRPr="00C54CD3">
        <w:rPr>
          <w:rFonts w:asciiTheme="majorHAnsi" w:eastAsia="Calibri" w:hAnsiTheme="majorHAnsi" w:cstheme="majorHAnsi"/>
          <w:color w:val="000000"/>
        </w:rPr>
        <w:t xml:space="preserve"> - Que les méthodes de collecte de données utilisent une combinaison d’approches quantitatives</w:t>
      </w:r>
      <w:r w:rsidR="00BC31BA" w:rsidRPr="00C54CD3">
        <w:rPr>
          <w:rFonts w:asciiTheme="majorHAnsi" w:eastAsia="Calibri" w:hAnsiTheme="majorHAnsi" w:cstheme="majorHAnsi"/>
          <w:color w:val="000000"/>
        </w:rPr>
        <w:t xml:space="preserve"> </w:t>
      </w:r>
      <w:r w:rsidRPr="00C54CD3">
        <w:rPr>
          <w:rFonts w:asciiTheme="majorHAnsi" w:eastAsia="Calibri" w:hAnsiTheme="majorHAnsi" w:cstheme="majorHAnsi"/>
          <w:color w:val="000000"/>
        </w:rPr>
        <w:t xml:space="preserve">et qualitatives ; </w:t>
      </w:r>
    </w:p>
    <w:p w:rsidR="00262160" w:rsidRPr="00C54CD3" w:rsidRDefault="00262160" w:rsidP="00C02C8F">
      <w:pPr>
        <w:spacing w:line="220" w:lineRule="exact"/>
        <w:ind w:right="1"/>
        <w:jc w:val="both"/>
        <w:rPr>
          <w:rFonts w:asciiTheme="majorHAnsi" w:eastAsia="Calibri" w:hAnsiTheme="majorHAnsi" w:cstheme="majorHAnsi"/>
          <w:color w:val="000000"/>
        </w:rPr>
      </w:pPr>
      <w:r w:rsidRPr="00C54CD3">
        <w:rPr>
          <w:rFonts w:asciiTheme="majorHAnsi" w:eastAsia="Calibri" w:hAnsiTheme="majorHAnsi" w:cstheme="majorHAnsi"/>
          <w:color w:val="000000"/>
        </w:rPr>
        <w:t xml:space="preserve"> -</w:t>
      </w:r>
      <w:r w:rsidR="00BC31BA" w:rsidRPr="00C54CD3">
        <w:rPr>
          <w:rFonts w:asciiTheme="majorHAnsi" w:eastAsia="Calibri" w:hAnsiTheme="majorHAnsi" w:cstheme="majorHAnsi"/>
          <w:color w:val="000000"/>
        </w:rPr>
        <w:t xml:space="preserve"> </w:t>
      </w:r>
      <w:r w:rsidRPr="00C54CD3">
        <w:rPr>
          <w:rFonts w:asciiTheme="majorHAnsi" w:eastAsia="Calibri" w:hAnsiTheme="majorHAnsi" w:cstheme="majorHAnsi"/>
          <w:color w:val="000000"/>
        </w:rPr>
        <w:t>Approche sensible au genre : tous les outils utilisés devront adopter une approche sensible au genre et toutes les données récoltées d</w:t>
      </w:r>
      <w:r w:rsidR="00BC31BA" w:rsidRPr="00C54CD3">
        <w:rPr>
          <w:rFonts w:asciiTheme="majorHAnsi" w:eastAsia="Calibri" w:hAnsiTheme="majorHAnsi" w:cstheme="majorHAnsi"/>
          <w:color w:val="000000"/>
        </w:rPr>
        <w:t xml:space="preserve">evront être ventilées par sexe et </w:t>
      </w:r>
      <w:r w:rsidRPr="00C54CD3">
        <w:rPr>
          <w:rFonts w:asciiTheme="majorHAnsi" w:eastAsia="Calibri" w:hAnsiTheme="majorHAnsi" w:cstheme="majorHAnsi"/>
          <w:color w:val="000000"/>
        </w:rPr>
        <w:t>âge</w:t>
      </w:r>
      <w:r w:rsidR="00BC31BA" w:rsidRPr="00C54CD3">
        <w:rPr>
          <w:rFonts w:asciiTheme="majorHAnsi" w:eastAsia="Calibri" w:hAnsiTheme="majorHAnsi" w:cstheme="majorHAnsi"/>
          <w:color w:val="000000"/>
        </w:rPr>
        <w:t xml:space="preserve"> </w:t>
      </w:r>
      <w:r w:rsidRPr="00C54CD3">
        <w:rPr>
          <w:rFonts w:asciiTheme="majorHAnsi" w:eastAsia="Calibri" w:hAnsiTheme="majorHAnsi" w:cstheme="majorHAnsi"/>
          <w:color w:val="000000"/>
        </w:rPr>
        <w:t xml:space="preserve">; </w:t>
      </w:r>
    </w:p>
    <w:p w:rsidR="00262160" w:rsidRPr="00C54CD3" w:rsidRDefault="00262160" w:rsidP="00C02C8F">
      <w:pPr>
        <w:spacing w:line="220" w:lineRule="exact"/>
        <w:ind w:right="1"/>
        <w:jc w:val="both"/>
        <w:rPr>
          <w:rFonts w:asciiTheme="majorHAnsi" w:eastAsia="Calibri" w:hAnsiTheme="majorHAnsi" w:cstheme="majorHAnsi"/>
          <w:color w:val="000000"/>
        </w:rPr>
      </w:pPr>
      <w:r w:rsidRPr="00C54CD3">
        <w:rPr>
          <w:rFonts w:asciiTheme="majorHAnsi" w:eastAsia="Calibri" w:hAnsiTheme="majorHAnsi" w:cstheme="majorHAnsi"/>
          <w:color w:val="000000"/>
        </w:rPr>
        <w:t>-</w:t>
      </w:r>
      <w:r w:rsidR="00BC31BA" w:rsidRPr="00C54CD3">
        <w:rPr>
          <w:rFonts w:asciiTheme="majorHAnsi" w:eastAsia="Calibri" w:hAnsiTheme="majorHAnsi" w:cstheme="majorHAnsi"/>
          <w:color w:val="000000"/>
        </w:rPr>
        <w:t xml:space="preserve"> </w:t>
      </w:r>
      <w:r w:rsidRPr="00C54CD3">
        <w:rPr>
          <w:rFonts w:asciiTheme="majorHAnsi" w:eastAsia="Calibri" w:hAnsiTheme="majorHAnsi" w:cstheme="majorHAnsi"/>
          <w:color w:val="000000"/>
        </w:rPr>
        <w:t>Que les missions de terrain (Sud et Belgique) fassent l’objet de courtes séances de restitution à</w:t>
      </w:r>
      <w:r w:rsidR="00BC31BA" w:rsidRPr="00C54CD3">
        <w:rPr>
          <w:rFonts w:asciiTheme="majorHAnsi" w:eastAsia="Calibri" w:hAnsiTheme="majorHAnsi" w:cstheme="majorHAnsi"/>
          <w:color w:val="000000"/>
        </w:rPr>
        <w:t xml:space="preserve"> </w:t>
      </w:r>
      <w:r w:rsidRPr="00C54CD3">
        <w:rPr>
          <w:rFonts w:asciiTheme="majorHAnsi" w:eastAsia="Calibri" w:hAnsiTheme="majorHAnsi" w:cstheme="majorHAnsi"/>
          <w:color w:val="000000"/>
        </w:rPr>
        <w:t>destination d</w:t>
      </w:r>
      <w:r w:rsidR="00BC31BA" w:rsidRPr="00C54CD3">
        <w:rPr>
          <w:rFonts w:asciiTheme="majorHAnsi" w:eastAsia="Calibri" w:hAnsiTheme="majorHAnsi" w:cstheme="majorHAnsi"/>
          <w:color w:val="000000"/>
        </w:rPr>
        <w:t xml:space="preserve">u </w:t>
      </w:r>
      <w:r w:rsidRPr="00C54CD3">
        <w:rPr>
          <w:rFonts w:asciiTheme="majorHAnsi" w:eastAsia="Calibri" w:hAnsiTheme="majorHAnsi" w:cstheme="majorHAnsi"/>
          <w:color w:val="000000"/>
        </w:rPr>
        <w:t xml:space="preserve">partenaire et </w:t>
      </w:r>
      <w:r w:rsidR="00BC31BA" w:rsidRPr="00C54CD3">
        <w:rPr>
          <w:rFonts w:asciiTheme="majorHAnsi" w:eastAsia="Calibri" w:hAnsiTheme="majorHAnsi" w:cstheme="majorHAnsi"/>
          <w:color w:val="000000"/>
        </w:rPr>
        <w:t xml:space="preserve">des </w:t>
      </w:r>
      <w:r w:rsidRPr="00C54CD3">
        <w:rPr>
          <w:rFonts w:asciiTheme="majorHAnsi" w:eastAsia="Calibri" w:hAnsiTheme="majorHAnsi" w:cstheme="majorHAnsi"/>
          <w:color w:val="000000"/>
        </w:rPr>
        <w:t xml:space="preserve">publics cibles ayant participé à l’exercice. </w:t>
      </w:r>
    </w:p>
    <w:p w:rsidR="00262160" w:rsidRPr="00C54CD3" w:rsidRDefault="00262160" w:rsidP="00C02C8F">
      <w:pPr>
        <w:spacing w:line="220" w:lineRule="exact"/>
        <w:ind w:right="1"/>
        <w:jc w:val="both"/>
        <w:rPr>
          <w:rFonts w:asciiTheme="majorHAnsi" w:eastAsia="Calibri" w:hAnsiTheme="majorHAnsi" w:cstheme="majorHAnsi"/>
          <w:color w:val="000000"/>
        </w:rPr>
      </w:pPr>
      <w:r w:rsidRPr="00C54CD3">
        <w:rPr>
          <w:rFonts w:asciiTheme="majorHAnsi" w:eastAsia="Calibri" w:hAnsiTheme="majorHAnsi" w:cstheme="majorHAnsi"/>
          <w:color w:val="000000"/>
        </w:rPr>
        <w:t xml:space="preserve"> </w:t>
      </w:r>
    </w:p>
    <w:p w:rsidR="00262160" w:rsidRPr="00C54CD3" w:rsidRDefault="00262160" w:rsidP="00C02C8F">
      <w:pPr>
        <w:spacing w:line="220" w:lineRule="exact"/>
        <w:ind w:right="1"/>
        <w:jc w:val="both"/>
        <w:rPr>
          <w:rFonts w:asciiTheme="majorHAnsi" w:eastAsia="Calibri" w:hAnsiTheme="majorHAnsi" w:cstheme="majorHAnsi"/>
          <w:color w:val="000000"/>
        </w:rPr>
      </w:pPr>
      <w:r w:rsidRPr="00C54CD3">
        <w:rPr>
          <w:rFonts w:asciiTheme="majorHAnsi" w:eastAsia="Calibri" w:hAnsiTheme="majorHAnsi" w:cstheme="majorHAnsi"/>
          <w:color w:val="000000"/>
        </w:rPr>
        <w:t xml:space="preserve">La méthodologie et les outils proposés par </w:t>
      </w:r>
      <w:r w:rsidR="00BC31BA" w:rsidRPr="00C54CD3">
        <w:rPr>
          <w:rFonts w:asciiTheme="majorHAnsi" w:eastAsia="Calibri" w:hAnsiTheme="majorHAnsi" w:cstheme="majorHAnsi"/>
          <w:color w:val="000000"/>
        </w:rPr>
        <w:t xml:space="preserve">l’évaluateur·rice </w:t>
      </w:r>
      <w:r w:rsidRPr="00C54CD3">
        <w:rPr>
          <w:rFonts w:asciiTheme="majorHAnsi" w:eastAsia="Calibri" w:hAnsiTheme="majorHAnsi" w:cstheme="majorHAnsi"/>
          <w:color w:val="000000"/>
        </w:rPr>
        <w:t>seront</w:t>
      </w:r>
      <w:r w:rsidR="00BC31BA" w:rsidRPr="00C54CD3">
        <w:rPr>
          <w:rFonts w:asciiTheme="majorHAnsi" w:eastAsia="Calibri" w:hAnsiTheme="majorHAnsi" w:cstheme="majorHAnsi"/>
          <w:color w:val="000000"/>
        </w:rPr>
        <w:t xml:space="preserve"> discutés lors d’une réunion de </w:t>
      </w:r>
      <w:r w:rsidRPr="00C54CD3">
        <w:rPr>
          <w:rFonts w:asciiTheme="majorHAnsi" w:eastAsia="Calibri" w:hAnsiTheme="majorHAnsi" w:cstheme="majorHAnsi"/>
          <w:color w:val="000000"/>
        </w:rPr>
        <w:t xml:space="preserve">cadrage avec </w:t>
      </w:r>
      <w:r w:rsidR="00BC31BA" w:rsidRPr="00C54CD3">
        <w:rPr>
          <w:rFonts w:asciiTheme="majorHAnsi" w:eastAsia="Calibri" w:hAnsiTheme="majorHAnsi" w:cstheme="majorHAnsi"/>
          <w:color w:val="000000"/>
        </w:rPr>
        <w:t>LHAC et son partenaire MLK</w:t>
      </w:r>
      <w:r w:rsidRPr="00C54CD3">
        <w:rPr>
          <w:rFonts w:asciiTheme="majorHAnsi" w:eastAsia="Calibri" w:hAnsiTheme="majorHAnsi" w:cstheme="majorHAnsi"/>
          <w:color w:val="000000"/>
        </w:rPr>
        <w:t>. Une note de cadrage sera élaborée à l’issue des discussions et contiendra l’explication sur les méthodes et outils d’évaluation qui seront utilisés, retenus en commun accord, et leur justification.</w:t>
      </w:r>
    </w:p>
    <w:p w:rsidR="00BC31BA" w:rsidRDefault="00BC31BA" w:rsidP="006778CB">
      <w:pPr>
        <w:pStyle w:val="Titre2"/>
        <w:jc w:val="both"/>
      </w:pPr>
      <w:bookmarkStart w:id="10" w:name="_Toc174543409"/>
      <w:r>
        <w:t>3.3. Pilotage</w:t>
      </w:r>
      <w:bookmarkEnd w:id="10"/>
      <w:r>
        <w:t xml:space="preserve"> </w:t>
      </w:r>
    </w:p>
    <w:p w:rsidR="00BC31BA" w:rsidRPr="00C54CD3" w:rsidRDefault="00BC31BA" w:rsidP="006778CB">
      <w:pPr>
        <w:jc w:val="both"/>
        <w:rPr>
          <w:rFonts w:asciiTheme="majorHAnsi" w:eastAsia="Calibri" w:hAnsiTheme="majorHAnsi" w:cstheme="majorHAnsi"/>
          <w:color w:val="000000"/>
        </w:rPr>
      </w:pPr>
      <w:r w:rsidRPr="00C54CD3">
        <w:rPr>
          <w:rFonts w:asciiTheme="majorHAnsi" w:eastAsia="Calibri" w:hAnsiTheme="majorHAnsi" w:cstheme="majorHAnsi"/>
          <w:color w:val="000000"/>
        </w:rPr>
        <w:t xml:space="preserve">Le comité pilotage, composé de membres de </w:t>
      </w:r>
      <w:r w:rsidR="00C54CD3" w:rsidRPr="00C54CD3">
        <w:rPr>
          <w:rFonts w:asciiTheme="majorHAnsi" w:eastAsia="Calibri" w:hAnsiTheme="majorHAnsi" w:cstheme="majorHAnsi"/>
          <w:color w:val="000000"/>
        </w:rPr>
        <w:t xml:space="preserve">LHAC </w:t>
      </w:r>
      <w:r w:rsidRPr="00C54CD3">
        <w:rPr>
          <w:rFonts w:asciiTheme="majorHAnsi" w:eastAsia="Calibri" w:hAnsiTheme="majorHAnsi" w:cstheme="majorHAnsi"/>
          <w:color w:val="000000"/>
        </w:rPr>
        <w:t>et de ses partenaires, est</w:t>
      </w:r>
      <w:r w:rsidR="00C54CD3" w:rsidRPr="00C54CD3">
        <w:rPr>
          <w:rFonts w:asciiTheme="majorHAnsi" w:eastAsia="Calibri" w:hAnsiTheme="majorHAnsi" w:cstheme="majorHAnsi"/>
          <w:color w:val="000000"/>
        </w:rPr>
        <w:t xml:space="preserve"> </w:t>
      </w:r>
      <w:r w:rsidRPr="00C54CD3">
        <w:rPr>
          <w:rFonts w:asciiTheme="majorHAnsi" w:eastAsia="Calibri" w:hAnsiTheme="majorHAnsi" w:cstheme="majorHAnsi"/>
          <w:color w:val="000000"/>
        </w:rPr>
        <w:t>responsable de faciliter le bon déroulement de l’évaluation étape par étape. Il a pour rôle de valider les</w:t>
      </w:r>
      <w:r w:rsidR="00C54CD3" w:rsidRPr="00C54CD3">
        <w:rPr>
          <w:rFonts w:asciiTheme="majorHAnsi" w:eastAsia="Calibri" w:hAnsiTheme="majorHAnsi" w:cstheme="majorHAnsi"/>
          <w:color w:val="000000"/>
        </w:rPr>
        <w:t xml:space="preserve"> </w:t>
      </w:r>
      <w:r w:rsidRPr="00C54CD3">
        <w:rPr>
          <w:rFonts w:asciiTheme="majorHAnsi" w:eastAsia="Calibri" w:hAnsiTheme="majorHAnsi" w:cstheme="majorHAnsi"/>
          <w:color w:val="000000"/>
        </w:rPr>
        <w:t xml:space="preserve">termes de références, de sélectionner </w:t>
      </w:r>
      <w:r w:rsidR="00C54CD3" w:rsidRPr="00C54CD3">
        <w:rPr>
          <w:rFonts w:asciiTheme="majorHAnsi" w:eastAsia="Calibri" w:hAnsiTheme="majorHAnsi" w:cstheme="majorHAnsi"/>
          <w:color w:val="000000"/>
        </w:rPr>
        <w:t>l’évaluateur·rice</w:t>
      </w:r>
      <w:r w:rsidRPr="00C54CD3">
        <w:rPr>
          <w:rFonts w:asciiTheme="majorHAnsi" w:eastAsia="Calibri" w:hAnsiTheme="majorHAnsi" w:cstheme="majorHAnsi"/>
          <w:color w:val="000000"/>
        </w:rPr>
        <w:t>, d’organiser la réunion de lancement,</w:t>
      </w:r>
      <w:r w:rsidR="00C54CD3" w:rsidRPr="00C54CD3">
        <w:rPr>
          <w:rFonts w:asciiTheme="majorHAnsi" w:eastAsia="Calibri" w:hAnsiTheme="majorHAnsi" w:cstheme="majorHAnsi"/>
          <w:color w:val="000000"/>
        </w:rPr>
        <w:t xml:space="preserve"> </w:t>
      </w:r>
      <w:r w:rsidRPr="00C54CD3">
        <w:rPr>
          <w:rFonts w:asciiTheme="majorHAnsi" w:eastAsia="Calibri" w:hAnsiTheme="majorHAnsi" w:cstheme="majorHAnsi"/>
          <w:color w:val="000000"/>
        </w:rPr>
        <w:t xml:space="preserve">de valider </w:t>
      </w:r>
      <w:r w:rsidR="00C54CD3" w:rsidRPr="00C54CD3">
        <w:rPr>
          <w:rFonts w:asciiTheme="majorHAnsi" w:eastAsia="Calibri" w:hAnsiTheme="majorHAnsi" w:cstheme="majorHAnsi"/>
          <w:color w:val="000000"/>
        </w:rPr>
        <w:t>l</w:t>
      </w:r>
      <w:r w:rsidRPr="00C54CD3">
        <w:rPr>
          <w:rFonts w:asciiTheme="majorHAnsi" w:eastAsia="Calibri" w:hAnsiTheme="majorHAnsi" w:cstheme="majorHAnsi"/>
          <w:color w:val="000000"/>
        </w:rPr>
        <w:t>a</w:t>
      </w:r>
      <w:r w:rsidR="00C54CD3" w:rsidRPr="00C54CD3">
        <w:rPr>
          <w:rFonts w:asciiTheme="majorHAnsi" w:eastAsia="Calibri" w:hAnsiTheme="majorHAnsi" w:cstheme="majorHAnsi"/>
          <w:color w:val="000000"/>
        </w:rPr>
        <w:t xml:space="preserve"> </w:t>
      </w:r>
      <w:r w:rsidRPr="00C54CD3">
        <w:rPr>
          <w:rFonts w:asciiTheme="majorHAnsi" w:eastAsia="Calibri" w:hAnsiTheme="majorHAnsi" w:cstheme="majorHAnsi"/>
          <w:color w:val="000000"/>
        </w:rPr>
        <w:t xml:space="preserve">méthodologie et le </w:t>
      </w:r>
      <w:r w:rsidRPr="00C54CD3">
        <w:rPr>
          <w:rFonts w:asciiTheme="majorHAnsi" w:eastAsia="Calibri" w:hAnsiTheme="majorHAnsi" w:cstheme="majorHAnsi"/>
          <w:color w:val="000000"/>
        </w:rPr>
        <w:lastRenderedPageBreak/>
        <w:t>calendrier proposés, de faciliter la coordination de la mission</w:t>
      </w:r>
      <w:r w:rsidR="00C54CD3" w:rsidRPr="00C54CD3">
        <w:rPr>
          <w:rFonts w:asciiTheme="majorHAnsi" w:eastAsia="Calibri" w:hAnsiTheme="majorHAnsi" w:cstheme="majorHAnsi"/>
          <w:color w:val="000000"/>
        </w:rPr>
        <w:t xml:space="preserve"> </w:t>
      </w:r>
      <w:r w:rsidRPr="00C54CD3">
        <w:rPr>
          <w:rFonts w:asciiTheme="majorHAnsi" w:eastAsia="Calibri" w:hAnsiTheme="majorHAnsi" w:cstheme="majorHAnsi"/>
          <w:color w:val="000000"/>
        </w:rPr>
        <w:t xml:space="preserve">d’évaluation, de participer aux ateliers de restitutions et d’évaluer la qualité du </w:t>
      </w:r>
      <w:r w:rsidR="00C54CD3" w:rsidRPr="00C54CD3">
        <w:rPr>
          <w:rFonts w:asciiTheme="majorHAnsi" w:eastAsia="Calibri" w:hAnsiTheme="majorHAnsi" w:cstheme="majorHAnsi"/>
          <w:color w:val="000000"/>
        </w:rPr>
        <w:t>rapport.</w:t>
      </w:r>
    </w:p>
    <w:p w:rsidR="00BC31BA" w:rsidRPr="00C54CD3" w:rsidRDefault="00BC31BA" w:rsidP="006778CB">
      <w:pPr>
        <w:jc w:val="both"/>
        <w:rPr>
          <w:rFonts w:asciiTheme="majorHAnsi" w:eastAsia="Calibri" w:hAnsiTheme="majorHAnsi" w:cstheme="majorHAnsi"/>
          <w:color w:val="000000"/>
        </w:rPr>
      </w:pPr>
      <w:r w:rsidRPr="00C54CD3">
        <w:rPr>
          <w:rFonts w:asciiTheme="majorHAnsi" w:eastAsia="Calibri" w:hAnsiTheme="majorHAnsi" w:cstheme="majorHAnsi"/>
          <w:color w:val="000000"/>
        </w:rPr>
        <w:t>Le CP mettra à disposition de l’équipe d’évaluation toutes les données et documents</w:t>
      </w:r>
      <w:r w:rsidR="00C54CD3" w:rsidRPr="00C54CD3">
        <w:rPr>
          <w:rFonts w:asciiTheme="majorHAnsi" w:eastAsia="Calibri" w:hAnsiTheme="majorHAnsi" w:cstheme="majorHAnsi"/>
          <w:color w:val="000000"/>
        </w:rPr>
        <w:t xml:space="preserve"> pertinents</w:t>
      </w:r>
      <w:r w:rsidRPr="00C54CD3">
        <w:rPr>
          <w:rFonts w:asciiTheme="majorHAnsi" w:eastAsia="Calibri" w:hAnsiTheme="majorHAnsi" w:cstheme="majorHAnsi"/>
          <w:color w:val="000000"/>
        </w:rPr>
        <w:t xml:space="preserve"> relatifs au</w:t>
      </w:r>
      <w:r w:rsidR="00C54CD3" w:rsidRPr="00C54CD3">
        <w:rPr>
          <w:rFonts w:asciiTheme="majorHAnsi" w:eastAsia="Calibri" w:hAnsiTheme="majorHAnsi" w:cstheme="majorHAnsi"/>
          <w:color w:val="000000"/>
        </w:rPr>
        <w:t xml:space="preserve"> </w:t>
      </w:r>
      <w:r w:rsidRPr="00C54CD3">
        <w:rPr>
          <w:rFonts w:asciiTheme="majorHAnsi" w:eastAsia="Calibri" w:hAnsiTheme="majorHAnsi" w:cstheme="majorHAnsi"/>
          <w:color w:val="000000"/>
        </w:rPr>
        <w:t>programme</w:t>
      </w:r>
      <w:r w:rsidR="00C54CD3" w:rsidRPr="00C54CD3">
        <w:rPr>
          <w:rFonts w:asciiTheme="majorHAnsi" w:eastAsia="Calibri" w:hAnsiTheme="majorHAnsi" w:cstheme="majorHAnsi"/>
          <w:color w:val="000000"/>
        </w:rPr>
        <w:t xml:space="preserve"> </w:t>
      </w:r>
      <w:r w:rsidRPr="00C54CD3">
        <w:rPr>
          <w:rFonts w:asciiTheme="majorHAnsi" w:eastAsia="Calibri" w:hAnsiTheme="majorHAnsi" w:cstheme="majorHAnsi"/>
          <w:color w:val="000000"/>
        </w:rPr>
        <w:t xml:space="preserve">: </w:t>
      </w:r>
    </w:p>
    <w:p w:rsidR="00C54CD3" w:rsidRPr="00C54CD3" w:rsidRDefault="00C54CD3" w:rsidP="006778CB">
      <w:pPr>
        <w:pStyle w:val="Paragraphedeliste"/>
        <w:numPr>
          <w:ilvl w:val="0"/>
          <w:numId w:val="13"/>
        </w:numPr>
        <w:jc w:val="both"/>
        <w:rPr>
          <w:rFonts w:asciiTheme="majorHAnsi" w:eastAsia="Calibri" w:hAnsiTheme="majorHAnsi" w:cstheme="majorHAnsi"/>
          <w:color w:val="000000"/>
        </w:rPr>
      </w:pPr>
      <w:r w:rsidRPr="00C54CD3">
        <w:rPr>
          <w:rFonts w:asciiTheme="majorHAnsi" w:eastAsia="Calibri" w:hAnsiTheme="majorHAnsi" w:cstheme="majorHAnsi"/>
          <w:color w:val="000000"/>
        </w:rPr>
        <w:t>P</w:t>
      </w:r>
      <w:r w:rsidR="00BC31BA" w:rsidRPr="00C54CD3">
        <w:rPr>
          <w:rFonts w:asciiTheme="majorHAnsi" w:eastAsia="Calibri" w:hAnsiTheme="majorHAnsi" w:cstheme="majorHAnsi"/>
          <w:color w:val="000000"/>
        </w:rPr>
        <w:t>rogramme 2022-2026 approuvé par la DGD, y compris les annexes dont la Théorie du</w:t>
      </w:r>
      <w:r w:rsidRPr="00C54CD3">
        <w:rPr>
          <w:rFonts w:asciiTheme="majorHAnsi" w:eastAsia="Calibri" w:hAnsiTheme="majorHAnsi" w:cstheme="majorHAnsi"/>
          <w:color w:val="000000"/>
        </w:rPr>
        <w:t xml:space="preserve"> Changement</w:t>
      </w:r>
    </w:p>
    <w:p w:rsidR="00C54CD3" w:rsidRPr="00C54CD3" w:rsidRDefault="00BC31BA" w:rsidP="006778CB">
      <w:pPr>
        <w:pStyle w:val="Paragraphedeliste"/>
        <w:numPr>
          <w:ilvl w:val="0"/>
          <w:numId w:val="13"/>
        </w:numPr>
        <w:jc w:val="both"/>
        <w:rPr>
          <w:rFonts w:asciiTheme="majorHAnsi" w:eastAsia="Calibri" w:hAnsiTheme="majorHAnsi" w:cstheme="majorHAnsi"/>
          <w:color w:val="000000"/>
        </w:rPr>
      </w:pPr>
      <w:r w:rsidRPr="00C54CD3">
        <w:rPr>
          <w:rFonts w:asciiTheme="majorHAnsi" w:eastAsia="Calibri" w:hAnsiTheme="majorHAnsi" w:cstheme="majorHAnsi"/>
          <w:color w:val="000000"/>
        </w:rPr>
        <w:t xml:space="preserve">Rapportage moral annuel 2022 et 2023 : scores </w:t>
      </w:r>
      <w:r w:rsidR="00C54CD3" w:rsidRPr="00C54CD3">
        <w:rPr>
          <w:rFonts w:asciiTheme="majorHAnsi" w:eastAsia="Calibri" w:hAnsiTheme="majorHAnsi" w:cstheme="majorHAnsi"/>
          <w:color w:val="000000"/>
        </w:rPr>
        <w:t>de performance, leçons apprises</w:t>
      </w:r>
    </w:p>
    <w:p w:rsidR="00C54CD3" w:rsidRPr="00C54CD3" w:rsidRDefault="00BC31BA" w:rsidP="00C54CD3">
      <w:pPr>
        <w:pStyle w:val="Paragraphedeliste"/>
        <w:numPr>
          <w:ilvl w:val="0"/>
          <w:numId w:val="13"/>
        </w:numPr>
        <w:jc w:val="both"/>
        <w:rPr>
          <w:rFonts w:asciiTheme="majorHAnsi" w:eastAsia="Calibri" w:hAnsiTheme="majorHAnsi" w:cstheme="majorHAnsi"/>
          <w:color w:val="000000"/>
        </w:rPr>
      </w:pPr>
      <w:r w:rsidRPr="00C54CD3">
        <w:rPr>
          <w:rFonts w:asciiTheme="majorHAnsi" w:eastAsia="Calibri" w:hAnsiTheme="majorHAnsi" w:cstheme="majorHAnsi"/>
          <w:color w:val="000000"/>
        </w:rPr>
        <w:t>R</w:t>
      </w:r>
      <w:r w:rsidR="00C54CD3" w:rsidRPr="00C54CD3">
        <w:rPr>
          <w:rFonts w:asciiTheme="majorHAnsi" w:eastAsia="Calibri" w:hAnsiTheme="majorHAnsi" w:cstheme="majorHAnsi"/>
          <w:color w:val="000000"/>
        </w:rPr>
        <w:t>apports financiers 2022 et 2023</w:t>
      </w:r>
    </w:p>
    <w:p w:rsidR="00C54CD3" w:rsidRPr="00C54CD3" w:rsidRDefault="00BC31BA" w:rsidP="00C54CD3">
      <w:pPr>
        <w:pStyle w:val="Paragraphedeliste"/>
        <w:numPr>
          <w:ilvl w:val="0"/>
          <w:numId w:val="13"/>
        </w:numPr>
        <w:jc w:val="both"/>
        <w:rPr>
          <w:rFonts w:asciiTheme="majorHAnsi" w:eastAsia="Calibri" w:hAnsiTheme="majorHAnsi" w:cstheme="majorHAnsi"/>
          <w:color w:val="000000"/>
        </w:rPr>
      </w:pPr>
      <w:r w:rsidRPr="00C54CD3">
        <w:rPr>
          <w:rFonts w:asciiTheme="majorHAnsi" w:eastAsia="Calibri" w:hAnsiTheme="majorHAnsi" w:cstheme="majorHAnsi"/>
          <w:color w:val="000000"/>
        </w:rPr>
        <w:t>Données du système de suivi du programme (cadres log</w:t>
      </w:r>
      <w:r w:rsidR="00C54CD3" w:rsidRPr="00C54CD3">
        <w:rPr>
          <w:rFonts w:asciiTheme="majorHAnsi" w:eastAsia="Calibri" w:hAnsiTheme="majorHAnsi" w:cstheme="majorHAnsi"/>
          <w:color w:val="000000"/>
        </w:rPr>
        <w:t>iques, matrice des indicateurs)</w:t>
      </w:r>
    </w:p>
    <w:p w:rsidR="00C54CD3" w:rsidRPr="00C54CD3" w:rsidRDefault="00C54CD3" w:rsidP="00C54CD3">
      <w:pPr>
        <w:pStyle w:val="Paragraphedeliste"/>
        <w:numPr>
          <w:ilvl w:val="0"/>
          <w:numId w:val="13"/>
        </w:numPr>
        <w:jc w:val="both"/>
        <w:rPr>
          <w:rFonts w:asciiTheme="majorHAnsi" w:eastAsia="Calibri" w:hAnsiTheme="majorHAnsi" w:cstheme="majorHAnsi"/>
          <w:color w:val="000000"/>
        </w:rPr>
      </w:pPr>
      <w:r w:rsidRPr="00C54CD3">
        <w:rPr>
          <w:rFonts w:asciiTheme="majorHAnsi" w:eastAsia="Calibri" w:hAnsiTheme="majorHAnsi" w:cstheme="majorHAnsi"/>
          <w:color w:val="000000"/>
        </w:rPr>
        <w:t xml:space="preserve">Cadre Stratégique Commun (CSC) des pays d’intervention </w:t>
      </w:r>
    </w:p>
    <w:p w:rsidR="00C54CD3" w:rsidRPr="00C54CD3" w:rsidRDefault="00C54CD3" w:rsidP="00C54CD3">
      <w:pPr>
        <w:pStyle w:val="Paragraphedeliste"/>
        <w:numPr>
          <w:ilvl w:val="0"/>
          <w:numId w:val="13"/>
        </w:numPr>
        <w:jc w:val="both"/>
        <w:rPr>
          <w:rFonts w:asciiTheme="majorHAnsi" w:eastAsia="Calibri" w:hAnsiTheme="majorHAnsi" w:cstheme="majorHAnsi"/>
          <w:color w:val="000000"/>
        </w:rPr>
      </w:pPr>
      <w:r w:rsidRPr="00C54CD3">
        <w:rPr>
          <w:rFonts w:asciiTheme="majorHAnsi" w:eastAsia="Calibri" w:hAnsiTheme="majorHAnsi" w:cstheme="majorHAnsi"/>
          <w:color w:val="000000"/>
        </w:rPr>
        <w:t>Conventions de partenariat, chartes d’intégrité</w:t>
      </w:r>
    </w:p>
    <w:p w:rsidR="00C54CD3" w:rsidRPr="00C54CD3" w:rsidRDefault="00C54CD3" w:rsidP="00C54CD3">
      <w:pPr>
        <w:pStyle w:val="Paragraphedeliste"/>
        <w:ind w:left="0"/>
        <w:jc w:val="both"/>
        <w:rPr>
          <w:rFonts w:asciiTheme="majorHAnsi" w:eastAsia="Calibri" w:hAnsiTheme="majorHAnsi" w:cstheme="majorHAnsi"/>
          <w:color w:val="000000"/>
        </w:rPr>
      </w:pPr>
    </w:p>
    <w:p w:rsidR="00C54CD3" w:rsidRPr="00C54CD3" w:rsidRDefault="00C54CD3" w:rsidP="00C54CD3">
      <w:pPr>
        <w:pStyle w:val="Paragraphedeliste"/>
        <w:ind w:left="0"/>
        <w:jc w:val="both"/>
        <w:rPr>
          <w:rFonts w:asciiTheme="majorHAnsi" w:eastAsia="Calibri" w:hAnsiTheme="majorHAnsi" w:cstheme="majorHAnsi"/>
          <w:color w:val="000000"/>
        </w:rPr>
      </w:pPr>
      <w:r w:rsidRPr="00C54CD3">
        <w:rPr>
          <w:rFonts w:asciiTheme="majorHAnsi" w:eastAsia="Calibri" w:hAnsiTheme="majorHAnsi" w:cstheme="majorHAnsi"/>
          <w:color w:val="000000"/>
        </w:rPr>
        <w:t>LHAC s’engage à écrire une réponse managériale et diffuser les productions sur son site internet, dans un délai de trois mois après approbation du rapport final.</w:t>
      </w:r>
    </w:p>
    <w:p w:rsidR="00C54CD3" w:rsidRDefault="00C54CD3" w:rsidP="00C54CD3">
      <w:pPr>
        <w:pStyle w:val="Paragraphedeliste"/>
        <w:ind w:left="0"/>
        <w:jc w:val="both"/>
        <w:rPr>
          <w:rFonts w:ascii="Calibri" w:eastAsia="Calibri" w:hAnsi="Calibri" w:cs="Calibri"/>
          <w:color w:val="000000"/>
        </w:rPr>
      </w:pPr>
    </w:p>
    <w:p w:rsidR="00C54CD3" w:rsidRPr="00C54CD3" w:rsidRDefault="00C54CD3" w:rsidP="00C54CD3">
      <w:pPr>
        <w:pStyle w:val="Titre1"/>
        <w:rPr>
          <w:rFonts w:eastAsia="Calibri"/>
        </w:rPr>
      </w:pPr>
      <w:bookmarkStart w:id="11" w:name="_Toc174543410"/>
      <w:r w:rsidRPr="00C54CD3">
        <w:rPr>
          <w:rFonts w:eastAsia="Calibri"/>
        </w:rPr>
        <w:t>Considérations éthiques</w:t>
      </w:r>
      <w:bookmarkEnd w:id="11"/>
      <w:r w:rsidRPr="00C54CD3">
        <w:rPr>
          <w:rFonts w:eastAsia="Calibri"/>
        </w:rPr>
        <w:t xml:space="preserve"> </w:t>
      </w:r>
    </w:p>
    <w:p w:rsidR="00C54CD3" w:rsidRDefault="00C54CD3" w:rsidP="00C54CD3">
      <w:pPr>
        <w:pStyle w:val="Paragraphedeliste"/>
        <w:ind w:left="0"/>
        <w:jc w:val="both"/>
        <w:rPr>
          <w:rFonts w:asciiTheme="majorHAnsi" w:eastAsia="Calibri" w:hAnsiTheme="majorHAnsi" w:cstheme="majorHAnsi"/>
          <w:color w:val="000000"/>
        </w:rPr>
      </w:pPr>
      <w:r w:rsidRPr="00C54CD3">
        <w:rPr>
          <w:rFonts w:asciiTheme="majorHAnsi" w:eastAsia="Calibri" w:hAnsiTheme="majorHAnsi" w:cstheme="majorHAnsi"/>
          <w:color w:val="000000"/>
        </w:rPr>
        <w:t>L</w:t>
      </w:r>
      <w:r>
        <w:rPr>
          <w:rFonts w:asciiTheme="majorHAnsi" w:eastAsia="Calibri" w:hAnsiTheme="majorHAnsi" w:cstheme="majorHAnsi"/>
          <w:color w:val="000000"/>
        </w:rPr>
        <w:t xml:space="preserve">’évaluateur·rice </w:t>
      </w:r>
      <w:r w:rsidRPr="00C54CD3">
        <w:rPr>
          <w:rFonts w:asciiTheme="majorHAnsi" w:eastAsia="Calibri" w:hAnsiTheme="majorHAnsi" w:cstheme="majorHAnsi"/>
          <w:color w:val="000000"/>
        </w:rPr>
        <w:t xml:space="preserve">s’engage à respecter la charte d’intégrité </w:t>
      </w:r>
      <w:r>
        <w:rPr>
          <w:rFonts w:asciiTheme="majorHAnsi" w:eastAsia="Calibri" w:hAnsiTheme="majorHAnsi" w:cstheme="majorHAnsi"/>
          <w:color w:val="000000"/>
        </w:rPr>
        <w:t>de LHAC</w:t>
      </w:r>
      <w:r w:rsidRPr="00C54CD3">
        <w:rPr>
          <w:rFonts w:asciiTheme="majorHAnsi" w:eastAsia="Calibri" w:hAnsiTheme="majorHAnsi" w:cstheme="majorHAnsi"/>
          <w:color w:val="000000"/>
        </w:rPr>
        <w:t xml:space="preserve">. </w:t>
      </w:r>
    </w:p>
    <w:p w:rsidR="00B305CA" w:rsidRDefault="00C54CD3" w:rsidP="00C54CD3">
      <w:pPr>
        <w:pStyle w:val="Paragraphedeliste"/>
        <w:ind w:left="0"/>
        <w:jc w:val="both"/>
        <w:rPr>
          <w:rFonts w:asciiTheme="majorHAnsi" w:eastAsia="Calibri" w:hAnsiTheme="majorHAnsi" w:cstheme="majorHAnsi"/>
          <w:color w:val="000000"/>
        </w:rPr>
      </w:pPr>
      <w:r>
        <w:rPr>
          <w:rFonts w:asciiTheme="majorHAnsi" w:eastAsia="Calibri" w:hAnsiTheme="majorHAnsi" w:cstheme="majorHAnsi"/>
          <w:color w:val="000000"/>
        </w:rPr>
        <w:t xml:space="preserve">L’évaluateur·rice devra communiquer sur </w:t>
      </w:r>
      <w:r w:rsidRPr="00C54CD3">
        <w:rPr>
          <w:rFonts w:asciiTheme="majorHAnsi" w:eastAsia="Calibri" w:hAnsiTheme="majorHAnsi" w:cstheme="majorHAnsi"/>
          <w:color w:val="000000"/>
        </w:rPr>
        <w:t xml:space="preserve">la manière dont </w:t>
      </w:r>
      <w:proofErr w:type="spellStart"/>
      <w:r w:rsidRPr="00C54CD3">
        <w:rPr>
          <w:rFonts w:asciiTheme="majorHAnsi" w:eastAsia="Calibri" w:hAnsiTheme="majorHAnsi" w:cstheme="majorHAnsi"/>
          <w:color w:val="000000"/>
        </w:rPr>
        <w:t>il·elle</w:t>
      </w:r>
      <w:proofErr w:type="spellEnd"/>
      <w:r w:rsidRPr="00C54CD3">
        <w:rPr>
          <w:rFonts w:asciiTheme="majorHAnsi" w:eastAsia="Calibri" w:hAnsiTheme="majorHAnsi" w:cstheme="majorHAnsi"/>
          <w:color w:val="000000"/>
        </w:rPr>
        <w:t xml:space="preserve"> adoptera une approche sensible au genre.</w:t>
      </w:r>
      <w:r>
        <w:rPr>
          <w:rFonts w:asciiTheme="majorHAnsi" w:eastAsia="Calibri" w:hAnsiTheme="majorHAnsi" w:cstheme="majorHAnsi"/>
          <w:color w:val="000000"/>
        </w:rPr>
        <w:t xml:space="preserve"> </w:t>
      </w:r>
      <w:r w:rsidRPr="00C54CD3">
        <w:rPr>
          <w:rFonts w:asciiTheme="majorHAnsi" w:eastAsia="Calibri" w:hAnsiTheme="majorHAnsi" w:cstheme="majorHAnsi"/>
          <w:color w:val="000000"/>
        </w:rPr>
        <w:t>En particulier, l</w:t>
      </w:r>
      <w:r>
        <w:rPr>
          <w:rFonts w:asciiTheme="majorHAnsi" w:eastAsia="Calibri" w:hAnsiTheme="majorHAnsi" w:cstheme="majorHAnsi"/>
          <w:color w:val="000000"/>
        </w:rPr>
        <w:t xml:space="preserve">’évaluateur·rice </w:t>
      </w:r>
      <w:r w:rsidRPr="00C54CD3">
        <w:rPr>
          <w:rFonts w:asciiTheme="majorHAnsi" w:eastAsia="Calibri" w:hAnsiTheme="majorHAnsi" w:cstheme="majorHAnsi"/>
          <w:color w:val="000000"/>
        </w:rPr>
        <w:t xml:space="preserve">devra expliquer comment une participation appropriée, sûre et non discriminatoire de toutes les parties prenantes sera assurée </w:t>
      </w:r>
    </w:p>
    <w:p w:rsidR="00C54CD3" w:rsidRDefault="00B305CA" w:rsidP="00C54CD3">
      <w:pPr>
        <w:pStyle w:val="Paragraphedeliste"/>
        <w:ind w:left="0"/>
        <w:jc w:val="both"/>
        <w:rPr>
          <w:rFonts w:asciiTheme="majorHAnsi" w:eastAsia="Calibri" w:hAnsiTheme="majorHAnsi" w:cstheme="majorHAnsi"/>
          <w:color w:val="000000"/>
        </w:rPr>
      </w:pPr>
      <w:r>
        <w:rPr>
          <w:rFonts w:asciiTheme="majorHAnsi" w:eastAsia="Calibri" w:hAnsiTheme="majorHAnsi" w:cstheme="majorHAnsi"/>
          <w:color w:val="000000"/>
        </w:rPr>
        <w:t xml:space="preserve">L’évaluateur·rice </w:t>
      </w:r>
      <w:r w:rsidR="00C54CD3" w:rsidRPr="00C54CD3">
        <w:rPr>
          <w:rFonts w:asciiTheme="majorHAnsi" w:eastAsia="Calibri" w:hAnsiTheme="majorHAnsi" w:cstheme="majorHAnsi"/>
          <w:color w:val="000000"/>
        </w:rPr>
        <w:t>expliquera</w:t>
      </w:r>
      <w:r>
        <w:rPr>
          <w:rFonts w:asciiTheme="majorHAnsi" w:eastAsia="Calibri" w:hAnsiTheme="majorHAnsi" w:cstheme="majorHAnsi"/>
          <w:color w:val="000000"/>
        </w:rPr>
        <w:t xml:space="preserve"> </w:t>
      </w:r>
      <w:r w:rsidR="00C54CD3" w:rsidRPr="00C54CD3">
        <w:rPr>
          <w:rFonts w:asciiTheme="majorHAnsi" w:eastAsia="Calibri" w:hAnsiTheme="majorHAnsi" w:cstheme="majorHAnsi"/>
          <w:color w:val="000000"/>
        </w:rPr>
        <w:t>également comment la confidentialité et l'anonymat des participant·e·s seront assurés.</w:t>
      </w:r>
    </w:p>
    <w:p w:rsidR="00B305CA" w:rsidRDefault="00B305CA" w:rsidP="00C54CD3">
      <w:pPr>
        <w:pStyle w:val="Paragraphedeliste"/>
        <w:ind w:left="0"/>
        <w:jc w:val="both"/>
        <w:rPr>
          <w:rFonts w:asciiTheme="majorHAnsi" w:eastAsia="Calibri" w:hAnsiTheme="majorHAnsi" w:cstheme="majorHAnsi"/>
          <w:color w:val="000000"/>
        </w:rPr>
      </w:pPr>
    </w:p>
    <w:p w:rsidR="00B305CA" w:rsidRPr="00B305CA" w:rsidRDefault="00B305CA" w:rsidP="00B305CA">
      <w:pPr>
        <w:pStyle w:val="Titre1"/>
        <w:rPr>
          <w:rFonts w:eastAsia="Calibri"/>
        </w:rPr>
      </w:pPr>
      <w:bookmarkStart w:id="12" w:name="_Toc174543411"/>
      <w:r w:rsidRPr="00B305CA">
        <w:rPr>
          <w:rFonts w:eastAsia="Calibri"/>
        </w:rPr>
        <w:t>Livrables attendus et calendrier</w:t>
      </w:r>
      <w:bookmarkEnd w:id="12"/>
      <w:r w:rsidRPr="00B305CA">
        <w:rPr>
          <w:rFonts w:eastAsia="Calibri"/>
        </w:rPr>
        <w:t xml:space="preserve"> </w:t>
      </w:r>
    </w:p>
    <w:p w:rsidR="00B305CA" w:rsidRPr="00B305CA" w:rsidRDefault="00B305CA" w:rsidP="00B305CA">
      <w:pPr>
        <w:pStyle w:val="Paragraphedeliste"/>
        <w:jc w:val="both"/>
        <w:rPr>
          <w:rFonts w:asciiTheme="majorHAnsi" w:eastAsia="Calibri" w:hAnsiTheme="majorHAnsi" w:cstheme="majorHAnsi"/>
          <w:color w:val="000000"/>
        </w:rPr>
      </w:pPr>
      <w:r w:rsidRPr="00B305CA">
        <w:rPr>
          <w:rFonts w:asciiTheme="majorHAnsi" w:eastAsia="Calibri" w:hAnsiTheme="majorHAnsi" w:cstheme="majorHAnsi"/>
          <w:color w:val="000000"/>
        </w:rPr>
        <w:t xml:space="preserve"> </w:t>
      </w:r>
    </w:p>
    <w:p w:rsidR="00B305CA" w:rsidRPr="00B305CA" w:rsidRDefault="00B305CA" w:rsidP="00B305CA">
      <w:pPr>
        <w:pStyle w:val="Titre2"/>
        <w:rPr>
          <w:rFonts w:eastAsia="Calibri"/>
        </w:rPr>
      </w:pPr>
      <w:bookmarkStart w:id="13" w:name="_Toc174543412"/>
      <w:r w:rsidRPr="00B305CA">
        <w:rPr>
          <w:rFonts w:eastAsia="Calibri"/>
        </w:rPr>
        <w:t>5.1. Livrables</w:t>
      </w:r>
      <w:bookmarkEnd w:id="13"/>
      <w:r w:rsidRPr="00B305CA">
        <w:rPr>
          <w:rFonts w:eastAsia="Calibri"/>
        </w:rPr>
        <w:t xml:space="preserve"> </w:t>
      </w:r>
    </w:p>
    <w:p w:rsidR="00B305CA" w:rsidRPr="00B305CA" w:rsidRDefault="00B305CA" w:rsidP="00B305CA">
      <w:pPr>
        <w:pStyle w:val="Paragraphedeliste"/>
        <w:jc w:val="both"/>
        <w:rPr>
          <w:rFonts w:asciiTheme="majorHAnsi" w:eastAsia="Calibri" w:hAnsiTheme="majorHAnsi" w:cstheme="majorHAnsi"/>
          <w:color w:val="000000"/>
        </w:rPr>
      </w:pPr>
      <w:r w:rsidRPr="00B305CA">
        <w:rPr>
          <w:rFonts w:asciiTheme="majorHAnsi" w:eastAsia="Calibri" w:hAnsiTheme="majorHAnsi" w:cstheme="majorHAnsi"/>
          <w:color w:val="000000"/>
        </w:rPr>
        <w:t xml:space="preserve"> </w:t>
      </w:r>
    </w:p>
    <w:p w:rsidR="00B305CA" w:rsidRPr="00B305CA" w:rsidRDefault="00B305CA" w:rsidP="00B305CA">
      <w:pPr>
        <w:pStyle w:val="Paragraphedeliste"/>
        <w:ind w:left="0"/>
        <w:jc w:val="both"/>
        <w:rPr>
          <w:rFonts w:asciiTheme="majorHAnsi" w:eastAsia="Calibri" w:hAnsiTheme="majorHAnsi" w:cstheme="majorHAnsi"/>
          <w:color w:val="000000"/>
        </w:rPr>
      </w:pPr>
      <w:r w:rsidRPr="00B305CA">
        <w:rPr>
          <w:rFonts w:asciiTheme="majorHAnsi" w:eastAsia="Calibri" w:hAnsiTheme="majorHAnsi" w:cstheme="majorHAnsi"/>
          <w:color w:val="000000"/>
        </w:rPr>
        <w:t>L’</w:t>
      </w:r>
      <w:r>
        <w:rPr>
          <w:rFonts w:asciiTheme="majorHAnsi" w:eastAsia="Calibri" w:hAnsiTheme="majorHAnsi" w:cstheme="majorHAnsi"/>
          <w:color w:val="000000"/>
        </w:rPr>
        <w:t xml:space="preserve">évaluateur·rice </w:t>
      </w:r>
      <w:r w:rsidRPr="00B305CA">
        <w:rPr>
          <w:rFonts w:asciiTheme="majorHAnsi" w:eastAsia="Calibri" w:hAnsiTheme="majorHAnsi" w:cstheme="majorHAnsi"/>
          <w:color w:val="000000"/>
        </w:rPr>
        <w:t xml:space="preserve">devra produire les livrables suivants : </w:t>
      </w:r>
    </w:p>
    <w:p w:rsidR="00B305CA" w:rsidRPr="00B305CA" w:rsidRDefault="00B305CA" w:rsidP="00B305CA">
      <w:pPr>
        <w:pStyle w:val="Paragraphedeliste"/>
        <w:ind w:left="0"/>
        <w:jc w:val="both"/>
        <w:rPr>
          <w:rFonts w:asciiTheme="majorHAnsi" w:eastAsia="Calibri" w:hAnsiTheme="majorHAnsi" w:cstheme="majorHAnsi"/>
          <w:color w:val="000000"/>
        </w:rPr>
      </w:pPr>
      <w:r w:rsidRPr="00B305CA">
        <w:rPr>
          <w:rFonts w:asciiTheme="majorHAnsi" w:eastAsia="Calibri" w:hAnsiTheme="majorHAnsi" w:cstheme="majorHAnsi"/>
          <w:color w:val="000000"/>
        </w:rPr>
        <w:t xml:space="preserve"> </w:t>
      </w:r>
    </w:p>
    <w:p w:rsidR="00B305CA" w:rsidRPr="00B305CA" w:rsidRDefault="00B305CA" w:rsidP="00B305CA">
      <w:pPr>
        <w:pStyle w:val="Paragraphedeliste"/>
        <w:ind w:left="0"/>
        <w:jc w:val="both"/>
        <w:rPr>
          <w:rFonts w:asciiTheme="majorHAnsi" w:eastAsia="Calibri" w:hAnsiTheme="majorHAnsi" w:cstheme="majorHAnsi"/>
          <w:color w:val="000000"/>
        </w:rPr>
      </w:pPr>
      <w:r w:rsidRPr="00B305CA">
        <w:rPr>
          <w:rFonts w:asciiTheme="majorHAnsi" w:eastAsia="Calibri" w:hAnsiTheme="majorHAnsi" w:cstheme="majorHAnsi"/>
          <w:color w:val="000000"/>
        </w:rPr>
        <w:t>•</w:t>
      </w:r>
      <w:r>
        <w:rPr>
          <w:rFonts w:asciiTheme="majorHAnsi" w:eastAsia="Calibri" w:hAnsiTheme="majorHAnsi" w:cstheme="majorHAnsi"/>
          <w:color w:val="000000"/>
        </w:rPr>
        <w:t xml:space="preserve"> </w:t>
      </w:r>
      <w:r w:rsidRPr="00B305CA">
        <w:rPr>
          <w:rFonts w:asciiTheme="majorHAnsi" w:eastAsia="Calibri" w:hAnsiTheme="majorHAnsi" w:cstheme="majorHAnsi"/>
          <w:color w:val="000000"/>
        </w:rPr>
        <w:t>Un rapport de démarrage sera produit à l’issue d’une réunion de cadrage avec le comité</w:t>
      </w:r>
      <w:r>
        <w:rPr>
          <w:rFonts w:asciiTheme="majorHAnsi" w:eastAsia="Calibri" w:hAnsiTheme="majorHAnsi" w:cstheme="majorHAnsi"/>
          <w:color w:val="000000"/>
        </w:rPr>
        <w:t xml:space="preserve"> </w:t>
      </w:r>
      <w:r w:rsidRPr="00B305CA">
        <w:rPr>
          <w:rFonts w:asciiTheme="majorHAnsi" w:eastAsia="Calibri" w:hAnsiTheme="majorHAnsi" w:cstheme="majorHAnsi"/>
          <w:color w:val="000000"/>
        </w:rPr>
        <w:t>de pilotage.  Le rapport de démarrage comprendra les questions évaluatives affinées, la</w:t>
      </w:r>
      <w:r>
        <w:rPr>
          <w:rFonts w:asciiTheme="majorHAnsi" w:eastAsia="Calibri" w:hAnsiTheme="majorHAnsi" w:cstheme="majorHAnsi"/>
          <w:color w:val="000000"/>
        </w:rPr>
        <w:t xml:space="preserve"> </w:t>
      </w:r>
      <w:r w:rsidRPr="00B305CA">
        <w:rPr>
          <w:rFonts w:asciiTheme="majorHAnsi" w:eastAsia="Calibri" w:hAnsiTheme="majorHAnsi" w:cstheme="majorHAnsi"/>
          <w:color w:val="000000"/>
        </w:rPr>
        <w:t xml:space="preserve">méthodologie détaillée, les dispositions éthiques, les outils de collecte et d’analyse de données, le plan de travail. Le rapport de démarrage devra être validé par le comité de pilotage. </w:t>
      </w:r>
    </w:p>
    <w:p w:rsidR="00B305CA" w:rsidRPr="00B305CA" w:rsidRDefault="00B305CA" w:rsidP="00B305CA">
      <w:pPr>
        <w:pStyle w:val="Paragraphedeliste"/>
        <w:ind w:left="0"/>
        <w:jc w:val="both"/>
        <w:rPr>
          <w:rFonts w:asciiTheme="majorHAnsi" w:eastAsia="Calibri" w:hAnsiTheme="majorHAnsi" w:cstheme="majorHAnsi"/>
          <w:color w:val="000000"/>
        </w:rPr>
      </w:pPr>
      <w:r w:rsidRPr="00B305CA">
        <w:rPr>
          <w:rFonts w:asciiTheme="majorHAnsi" w:eastAsia="Calibri" w:hAnsiTheme="majorHAnsi" w:cstheme="majorHAnsi"/>
          <w:color w:val="000000"/>
        </w:rPr>
        <w:t>•</w:t>
      </w:r>
      <w:r>
        <w:rPr>
          <w:rFonts w:asciiTheme="majorHAnsi" w:eastAsia="Calibri" w:hAnsiTheme="majorHAnsi" w:cstheme="majorHAnsi"/>
          <w:color w:val="000000"/>
        </w:rPr>
        <w:t xml:space="preserve"> </w:t>
      </w:r>
      <w:r w:rsidRPr="00B305CA">
        <w:rPr>
          <w:rFonts w:asciiTheme="majorHAnsi" w:eastAsia="Calibri" w:hAnsiTheme="majorHAnsi" w:cstheme="majorHAnsi"/>
          <w:color w:val="000000"/>
        </w:rPr>
        <w:t xml:space="preserve">Une présentation synthétisant les informations clés (principaux résultats et conclusions) </w:t>
      </w:r>
      <w:r>
        <w:rPr>
          <w:rFonts w:asciiTheme="majorHAnsi" w:eastAsia="Calibri" w:hAnsiTheme="majorHAnsi" w:cstheme="majorHAnsi"/>
          <w:color w:val="000000"/>
        </w:rPr>
        <w:t>d</w:t>
      </w:r>
      <w:r w:rsidRPr="00B305CA">
        <w:rPr>
          <w:rFonts w:asciiTheme="majorHAnsi" w:eastAsia="Calibri" w:hAnsiTheme="majorHAnsi" w:cstheme="majorHAnsi"/>
          <w:color w:val="000000"/>
        </w:rPr>
        <w:t xml:space="preserve">e l’évaluation, à présenter aux principales parties prenantes et personnes ayant participé aux enquêtes lors d’un atelier de restitution. </w:t>
      </w:r>
    </w:p>
    <w:p w:rsidR="00B305CA" w:rsidRPr="00B305CA" w:rsidRDefault="00B305CA" w:rsidP="00B305CA">
      <w:pPr>
        <w:pStyle w:val="Paragraphedeliste"/>
        <w:ind w:left="0"/>
        <w:jc w:val="both"/>
        <w:rPr>
          <w:rFonts w:asciiTheme="majorHAnsi" w:eastAsia="Calibri" w:hAnsiTheme="majorHAnsi" w:cstheme="majorHAnsi"/>
          <w:color w:val="000000"/>
        </w:rPr>
      </w:pPr>
      <w:r w:rsidRPr="00B305CA">
        <w:rPr>
          <w:rFonts w:asciiTheme="majorHAnsi" w:eastAsia="Calibri" w:hAnsiTheme="majorHAnsi" w:cstheme="majorHAnsi"/>
          <w:color w:val="000000"/>
        </w:rPr>
        <w:t>• Un rapport d</w:t>
      </w:r>
      <w:r>
        <w:rPr>
          <w:rFonts w:asciiTheme="majorHAnsi" w:eastAsia="Calibri" w:hAnsiTheme="majorHAnsi" w:cstheme="majorHAnsi"/>
          <w:color w:val="000000"/>
        </w:rPr>
        <w:t>’évaluation préliminaire</w:t>
      </w:r>
    </w:p>
    <w:p w:rsidR="00B305CA" w:rsidRPr="00B305CA" w:rsidRDefault="00B305CA" w:rsidP="00B305CA">
      <w:pPr>
        <w:pStyle w:val="Paragraphedeliste"/>
        <w:ind w:left="0"/>
        <w:jc w:val="both"/>
        <w:rPr>
          <w:rFonts w:asciiTheme="majorHAnsi" w:eastAsia="Calibri" w:hAnsiTheme="majorHAnsi" w:cstheme="majorHAnsi"/>
          <w:color w:val="000000"/>
        </w:rPr>
      </w:pPr>
      <w:r w:rsidRPr="00B305CA">
        <w:rPr>
          <w:rFonts w:asciiTheme="majorHAnsi" w:eastAsia="Calibri" w:hAnsiTheme="majorHAnsi" w:cstheme="majorHAnsi"/>
          <w:color w:val="000000"/>
        </w:rPr>
        <w:t>•</w:t>
      </w:r>
      <w:r>
        <w:rPr>
          <w:rFonts w:asciiTheme="majorHAnsi" w:eastAsia="Calibri" w:hAnsiTheme="majorHAnsi" w:cstheme="majorHAnsi"/>
          <w:color w:val="000000"/>
        </w:rPr>
        <w:t xml:space="preserve"> </w:t>
      </w:r>
      <w:r w:rsidRPr="00B305CA">
        <w:rPr>
          <w:rFonts w:asciiTheme="majorHAnsi" w:eastAsia="Calibri" w:hAnsiTheme="majorHAnsi" w:cstheme="majorHAnsi"/>
          <w:color w:val="000000"/>
        </w:rPr>
        <w:t>Un rapport d’évaluation final tenant compte des commentaires du comité de pilotage et</w:t>
      </w:r>
      <w:r>
        <w:rPr>
          <w:rFonts w:asciiTheme="majorHAnsi" w:eastAsia="Calibri" w:hAnsiTheme="majorHAnsi" w:cstheme="majorHAnsi"/>
          <w:color w:val="000000"/>
        </w:rPr>
        <w:t xml:space="preserve"> </w:t>
      </w:r>
      <w:r w:rsidRPr="00B305CA">
        <w:rPr>
          <w:rFonts w:asciiTheme="majorHAnsi" w:eastAsia="Calibri" w:hAnsiTheme="majorHAnsi" w:cstheme="majorHAnsi"/>
          <w:color w:val="000000"/>
        </w:rPr>
        <w:t xml:space="preserve">comprenant les sections suivantes : </w:t>
      </w:r>
    </w:p>
    <w:p w:rsidR="00B305CA" w:rsidRPr="00B305CA" w:rsidRDefault="00B305CA" w:rsidP="00B305CA">
      <w:pPr>
        <w:pStyle w:val="Paragraphedeliste"/>
        <w:ind w:left="0"/>
        <w:jc w:val="both"/>
        <w:rPr>
          <w:rFonts w:asciiTheme="majorHAnsi" w:eastAsia="Calibri" w:hAnsiTheme="majorHAnsi" w:cstheme="majorHAnsi"/>
          <w:color w:val="000000"/>
        </w:rPr>
      </w:pPr>
      <w:r w:rsidRPr="00B305CA">
        <w:rPr>
          <w:rFonts w:asciiTheme="majorHAnsi" w:eastAsia="Calibri" w:hAnsiTheme="majorHAnsi" w:cstheme="majorHAnsi"/>
          <w:color w:val="000000"/>
        </w:rPr>
        <w:t xml:space="preserve"> -     Résumé exécutif présentant les principaux résultats et recommandations</w:t>
      </w:r>
      <w:r>
        <w:rPr>
          <w:rFonts w:asciiTheme="majorHAnsi" w:eastAsia="Calibri" w:hAnsiTheme="majorHAnsi" w:cstheme="majorHAnsi"/>
          <w:color w:val="000000"/>
        </w:rPr>
        <w:t xml:space="preserve"> </w:t>
      </w:r>
      <w:r w:rsidRPr="00B305CA">
        <w:rPr>
          <w:rFonts w:asciiTheme="majorHAnsi" w:eastAsia="Calibri" w:hAnsiTheme="majorHAnsi" w:cstheme="majorHAnsi"/>
          <w:color w:val="000000"/>
        </w:rPr>
        <w:t xml:space="preserve">; </w:t>
      </w:r>
    </w:p>
    <w:p w:rsidR="00B305CA" w:rsidRPr="00B305CA" w:rsidRDefault="00B305CA" w:rsidP="00B305CA">
      <w:pPr>
        <w:pStyle w:val="Paragraphedeliste"/>
        <w:ind w:left="0"/>
        <w:jc w:val="both"/>
        <w:rPr>
          <w:rFonts w:asciiTheme="majorHAnsi" w:eastAsia="Calibri" w:hAnsiTheme="majorHAnsi" w:cstheme="majorHAnsi"/>
          <w:color w:val="000000"/>
        </w:rPr>
      </w:pPr>
      <w:r w:rsidRPr="00B305CA">
        <w:rPr>
          <w:rFonts w:asciiTheme="majorHAnsi" w:eastAsia="Calibri" w:hAnsiTheme="majorHAnsi" w:cstheme="majorHAnsi"/>
          <w:color w:val="000000"/>
        </w:rPr>
        <w:t xml:space="preserve">-     Une introduction présentant le contexte et objectifs de l’étude ; </w:t>
      </w:r>
    </w:p>
    <w:p w:rsidR="00B305CA" w:rsidRPr="00B305CA" w:rsidRDefault="00B305CA" w:rsidP="00B305CA">
      <w:pPr>
        <w:pStyle w:val="Paragraphedeliste"/>
        <w:ind w:left="0"/>
        <w:jc w:val="both"/>
        <w:rPr>
          <w:rFonts w:asciiTheme="majorHAnsi" w:eastAsia="Calibri" w:hAnsiTheme="majorHAnsi" w:cstheme="majorHAnsi"/>
          <w:color w:val="000000"/>
        </w:rPr>
      </w:pPr>
      <w:r w:rsidRPr="00B305CA">
        <w:rPr>
          <w:rFonts w:asciiTheme="majorHAnsi" w:eastAsia="Calibri" w:hAnsiTheme="majorHAnsi" w:cstheme="majorHAnsi"/>
          <w:color w:val="000000"/>
        </w:rPr>
        <w:t xml:space="preserve">-     Méthodologie utilisée, justification et contraintes rencontrées ; </w:t>
      </w:r>
    </w:p>
    <w:p w:rsidR="00B305CA" w:rsidRPr="00B305CA" w:rsidRDefault="00B305CA" w:rsidP="00B305CA">
      <w:pPr>
        <w:pStyle w:val="Paragraphedeliste"/>
        <w:ind w:left="0"/>
        <w:jc w:val="both"/>
        <w:rPr>
          <w:rFonts w:asciiTheme="majorHAnsi" w:eastAsia="Calibri" w:hAnsiTheme="majorHAnsi" w:cstheme="majorHAnsi"/>
          <w:color w:val="000000"/>
        </w:rPr>
      </w:pPr>
      <w:r w:rsidRPr="00B305CA">
        <w:rPr>
          <w:rFonts w:asciiTheme="majorHAnsi" w:eastAsia="Calibri" w:hAnsiTheme="majorHAnsi" w:cstheme="majorHAnsi"/>
          <w:color w:val="000000"/>
        </w:rPr>
        <w:t xml:space="preserve">-     Analyse des domaines d’évaluation ; </w:t>
      </w:r>
    </w:p>
    <w:p w:rsidR="00B305CA" w:rsidRPr="00B305CA" w:rsidRDefault="00B305CA" w:rsidP="00B305CA">
      <w:pPr>
        <w:pStyle w:val="Paragraphedeliste"/>
        <w:ind w:left="0"/>
        <w:jc w:val="both"/>
        <w:rPr>
          <w:rFonts w:asciiTheme="majorHAnsi" w:eastAsia="Calibri" w:hAnsiTheme="majorHAnsi" w:cstheme="majorHAnsi"/>
          <w:color w:val="000000"/>
        </w:rPr>
      </w:pPr>
      <w:r w:rsidRPr="00B305CA">
        <w:rPr>
          <w:rFonts w:asciiTheme="majorHAnsi" w:eastAsia="Calibri" w:hAnsiTheme="majorHAnsi" w:cstheme="majorHAnsi"/>
          <w:color w:val="000000"/>
        </w:rPr>
        <w:lastRenderedPageBreak/>
        <w:t xml:space="preserve">-     Conclusions (principales observations, leçons apprises et recommandations) </w:t>
      </w:r>
    </w:p>
    <w:p w:rsidR="00B305CA" w:rsidRDefault="00B305CA" w:rsidP="00B305CA">
      <w:pPr>
        <w:pStyle w:val="Paragraphedeliste"/>
        <w:ind w:left="0"/>
        <w:jc w:val="both"/>
        <w:rPr>
          <w:rFonts w:asciiTheme="majorHAnsi" w:eastAsia="Calibri" w:hAnsiTheme="majorHAnsi" w:cstheme="majorHAnsi"/>
          <w:color w:val="000000"/>
        </w:rPr>
      </w:pPr>
      <w:r w:rsidRPr="00B305CA">
        <w:rPr>
          <w:rFonts w:asciiTheme="majorHAnsi" w:eastAsia="Calibri" w:hAnsiTheme="majorHAnsi" w:cstheme="majorHAnsi"/>
          <w:color w:val="000000"/>
        </w:rPr>
        <w:t>-     Annexes (</w:t>
      </w:r>
      <w:proofErr w:type="spellStart"/>
      <w:r w:rsidRPr="00B305CA">
        <w:rPr>
          <w:rFonts w:asciiTheme="majorHAnsi" w:eastAsia="Calibri" w:hAnsiTheme="majorHAnsi" w:cstheme="majorHAnsi"/>
          <w:color w:val="000000"/>
        </w:rPr>
        <w:t>TdR</w:t>
      </w:r>
      <w:proofErr w:type="spellEnd"/>
      <w:r w:rsidRPr="00B305CA">
        <w:rPr>
          <w:rFonts w:asciiTheme="majorHAnsi" w:eastAsia="Calibri" w:hAnsiTheme="majorHAnsi" w:cstheme="majorHAnsi"/>
          <w:color w:val="000000"/>
        </w:rPr>
        <w:t xml:space="preserve"> de l’évaluation, agenda de la recherche sur le terrain, méthodologie de</w:t>
      </w:r>
      <w:r>
        <w:rPr>
          <w:rFonts w:asciiTheme="majorHAnsi" w:eastAsia="Calibri" w:hAnsiTheme="majorHAnsi" w:cstheme="majorHAnsi"/>
          <w:color w:val="000000"/>
        </w:rPr>
        <w:t xml:space="preserve"> </w:t>
      </w:r>
      <w:r w:rsidRPr="00B305CA">
        <w:rPr>
          <w:rFonts w:asciiTheme="majorHAnsi" w:eastAsia="Calibri" w:hAnsiTheme="majorHAnsi" w:cstheme="majorHAnsi"/>
          <w:color w:val="000000"/>
        </w:rPr>
        <w:t>l'évaluation, liste des documents et de la littérature consultés, liste des entretiens ; etc.)</w:t>
      </w:r>
    </w:p>
    <w:p w:rsidR="00B305CA" w:rsidRDefault="00B305CA" w:rsidP="00B305CA">
      <w:pPr>
        <w:pStyle w:val="Paragraphedeliste"/>
        <w:ind w:left="0"/>
        <w:jc w:val="both"/>
        <w:rPr>
          <w:rFonts w:asciiTheme="majorHAnsi" w:eastAsia="Calibri" w:hAnsiTheme="majorHAnsi" w:cstheme="majorHAnsi"/>
          <w:color w:val="000000"/>
        </w:rPr>
      </w:pPr>
      <w:r w:rsidRPr="00B305CA">
        <w:rPr>
          <w:rFonts w:asciiTheme="majorHAnsi" w:eastAsia="Calibri" w:hAnsiTheme="majorHAnsi" w:cstheme="majorHAnsi"/>
          <w:color w:val="000000"/>
        </w:rPr>
        <w:t>Tous les documents doivent être livrés en français.</w:t>
      </w:r>
    </w:p>
    <w:p w:rsidR="00B305CA" w:rsidRDefault="00B305CA" w:rsidP="00B305CA">
      <w:pPr>
        <w:pStyle w:val="Paragraphedeliste"/>
        <w:ind w:left="0"/>
        <w:jc w:val="both"/>
        <w:rPr>
          <w:rFonts w:asciiTheme="majorHAnsi" w:eastAsia="Calibri" w:hAnsiTheme="majorHAnsi" w:cstheme="majorHAnsi"/>
          <w:color w:val="000000"/>
        </w:rPr>
      </w:pPr>
    </w:p>
    <w:p w:rsidR="00B305CA" w:rsidRDefault="00B305CA" w:rsidP="00B305CA">
      <w:pPr>
        <w:pStyle w:val="Titre2"/>
        <w:rPr>
          <w:rFonts w:eastAsia="Calibri"/>
        </w:rPr>
      </w:pPr>
      <w:bookmarkStart w:id="14" w:name="_Toc174543413"/>
      <w:r w:rsidRPr="00B305CA">
        <w:rPr>
          <w:rFonts w:eastAsia="Calibri"/>
        </w:rPr>
        <w:t>5.2. Calendrier</w:t>
      </w:r>
      <w:bookmarkEnd w:id="14"/>
    </w:p>
    <w:p w:rsidR="00B305CA" w:rsidRDefault="00B305CA" w:rsidP="00B305CA">
      <w:pPr>
        <w:rPr>
          <w:rFonts w:asciiTheme="majorHAnsi" w:hAnsiTheme="majorHAnsi" w:cstheme="majorHAnsi"/>
        </w:rPr>
      </w:pPr>
      <w:r w:rsidRPr="00B305CA">
        <w:rPr>
          <w:rFonts w:asciiTheme="majorHAnsi" w:hAnsiTheme="majorHAnsi" w:cstheme="majorHAnsi"/>
        </w:rPr>
        <w:t>Le calendrier indicatif de la mission d’évaluation est le suivant :</w:t>
      </w:r>
    </w:p>
    <w:p w:rsidR="00B305CA" w:rsidRDefault="00B305CA" w:rsidP="00B305CA">
      <w:pPr>
        <w:rPr>
          <w:rFonts w:asciiTheme="majorHAnsi" w:hAnsiTheme="majorHAnsi" w:cstheme="majorHAnsi"/>
        </w:rPr>
      </w:pPr>
    </w:p>
    <w:p w:rsidR="00B305CA" w:rsidRDefault="00B305CA" w:rsidP="00B305CA">
      <w:pPr>
        <w:rPr>
          <w:rFonts w:asciiTheme="majorHAnsi" w:hAnsiTheme="majorHAnsi" w:cstheme="majorHAnsi"/>
        </w:rPr>
      </w:pPr>
    </w:p>
    <w:tbl>
      <w:tblPr>
        <w:tblW w:w="8703" w:type="dxa"/>
        <w:tblInd w:w="10" w:type="dxa"/>
        <w:tblCellMar>
          <w:left w:w="10" w:type="dxa"/>
          <w:right w:w="10" w:type="dxa"/>
        </w:tblCellMar>
        <w:tblLook w:val="04A0" w:firstRow="1" w:lastRow="0" w:firstColumn="1" w:lastColumn="0" w:noHBand="0" w:noVBand="1"/>
      </w:tblPr>
      <w:tblGrid>
        <w:gridCol w:w="71"/>
        <w:gridCol w:w="3198"/>
        <w:gridCol w:w="67"/>
        <w:gridCol w:w="71"/>
        <w:gridCol w:w="5281"/>
        <w:gridCol w:w="66"/>
      </w:tblGrid>
      <w:tr w:rsidR="00B305CA" w:rsidTr="00C46492">
        <w:trPr>
          <w:trHeight w:val="278"/>
        </w:trPr>
        <w:tc>
          <w:tcPr>
            <w:tcW w:w="112" w:type="dxa"/>
            <w:tcBorders>
              <w:top w:val="single" w:sz="1" w:space="0" w:color="000000"/>
              <w:left w:val="single" w:sz="1" w:space="0" w:color="000000"/>
              <w:bottom w:val="nil"/>
              <w:right w:val="single" w:sz="1" w:space="0" w:color="D9E2F3"/>
            </w:tcBorders>
            <w:shd w:val="clear" w:color="auto" w:fill="D9E2F3"/>
          </w:tcPr>
          <w:p w:rsidR="00B305CA" w:rsidRDefault="00B305CA" w:rsidP="00C46492"/>
        </w:tc>
        <w:tc>
          <w:tcPr>
            <w:tcW w:w="3105" w:type="dxa"/>
            <w:tcBorders>
              <w:top w:val="single" w:sz="1" w:space="0" w:color="000000"/>
              <w:left w:val="single" w:sz="1" w:space="0" w:color="D9E2F3"/>
              <w:bottom w:val="single" w:sz="1" w:space="0" w:color="D9E2F3"/>
              <w:right w:val="single" w:sz="1" w:space="0" w:color="D9E2F3"/>
            </w:tcBorders>
            <w:shd w:val="clear" w:color="auto" w:fill="D9E2F3"/>
            <w:tcMar>
              <w:left w:w="0" w:type="dxa"/>
              <w:right w:w="2352" w:type="dxa"/>
            </w:tcMar>
          </w:tcPr>
          <w:p w:rsidR="00B305CA" w:rsidRDefault="00B305CA" w:rsidP="00C46492">
            <w:pPr>
              <w:spacing w:before="53" w:line="220" w:lineRule="exact"/>
              <w:ind w:right="-567"/>
            </w:pPr>
            <w:r>
              <w:rPr>
                <w:rFonts w:ascii="Calibri" w:eastAsia="Calibri" w:hAnsi="Calibri" w:cs="Calibri"/>
                <w:b/>
                <w:bCs/>
                <w:color w:val="000000"/>
              </w:rPr>
              <w:t>Période </w:t>
            </w:r>
          </w:p>
        </w:tc>
        <w:tc>
          <w:tcPr>
            <w:tcW w:w="103" w:type="dxa"/>
            <w:tcBorders>
              <w:top w:val="single" w:sz="1" w:space="0" w:color="000000"/>
              <w:left w:val="single" w:sz="1" w:space="0" w:color="D9E2F3"/>
              <w:bottom w:val="nil"/>
              <w:right w:val="single" w:sz="1" w:space="0" w:color="000000"/>
            </w:tcBorders>
            <w:shd w:val="clear" w:color="auto" w:fill="D9E2F3"/>
          </w:tcPr>
          <w:p w:rsidR="00B305CA" w:rsidRDefault="00B305CA" w:rsidP="00C46492"/>
        </w:tc>
        <w:tc>
          <w:tcPr>
            <w:tcW w:w="112" w:type="dxa"/>
            <w:tcBorders>
              <w:top w:val="single" w:sz="1" w:space="0" w:color="000000"/>
              <w:left w:val="single" w:sz="1" w:space="0" w:color="000000"/>
              <w:bottom w:val="nil"/>
              <w:right w:val="single" w:sz="1" w:space="0" w:color="D9E2F3"/>
            </w:tcBorders>
            <w:shd w:val="clear" w:color="auto" w:fill="D9E2F3"/>
          </w:tcPr>
          <w:p w:rsidR="00B305CA" w:rsidRDefault="00B305CA" w:rsidP="00C46492"/>
        </w:tc>
        <w:tc>
          <w:tcPr>
            <w:tcW w:w="5165" w:type="dxa"/>
            <w:tcBorders>
              <w:top w:val="single" w:sz="1" w:space="0" w:color="000000"/>
              <w:left w:val="single" w:sz="1" w:space="0" w:color="D9E2F3"/>
              <w:bottom w:val="single" w:sz="1" w:space="0" w:color="D9E2F3"/>
              <w:right w:val="single" w:sz="1" w:space="0" w:color="D9E2F3"/>
            </w:tcBorders>
            <w:shd w:val="clear" w:color="auto" w:fill="D9E2F3"/>
            <w:tcMar>
              <w:left w:w="0" w:type="dxa"/>
              <w:right w:w="4599" w:type="dxa"/>
            </w:tcMar>
          </w:tcPr>
          <w:p w:rsidR="00B305CA" w:rsidRDefault="00B305CA" w:rsidP="00C46492">
            <w:pPr>
              <w:spacing w:before="53" w:line="220" w:lineRule="exact"/>
              <w:ind w:right="-567"/>
            </w:pPr>
            <w:r>
              <w:rPr>
                <w:rFonts w:ascii="Calibri" w:eastAsia="Calibri" w:hAnsi="Calibri" w:cs="Calibri"/>
                <w:b/>
                <w:bCs/>
                <w:color w:val="000000"/>
              </w:rPr>
              <w:t>Etape </w:t>
            </w:r>
          </w:p>
        </w:tc>
        <w:tc>
          <w:tcPr>
            <w:tcW w:w="103" w:type="dxa"/>
            <w:tcBorders>
              <w:top w:val="single" w:sz="1" w:space="0" w:color="000000"/>
              <w:left w:val="single" w:sz="1" w:space="0" w:color="D9E2F3"/>
              <w:bottom w:val="nil"/>
              <w:right w:val="single" w:sz="1" w:space="0" w:color="000000"/>
            </w:tcBorders>
            <w:shd w:val="clear" w:color="auto" w:fill="D9E2F3"/>
          </w:tcPr>
          <w:p w:rsidR="00B305CA" w:rsidRDefault="00B305CA" w:rsidP="00C46492"/>
        </w:tc>
      </w:tr>
      <w:tr w:rsidR="00B305CA" w:rsidTr="00C46492">
        <w:trPr>
          <w:trHeight w:val="110"/>
        </w:trPr>
        <w:tc>
          <w:tcPr>
            <w:tcW w:w="112" w:type="dxa"/>
            <w:tcBorders>
              <w:top w:val="nil"/>
              <w:left w:val="single" w:sz="1" w:space="0" w:color="000000"/>
              <w:bottom w:val="single" w:sz="1" w:space="0" w:color="000000"/>
              <w:right w:val="nil"/>
            </w:tcBorders>
            <w:shd w:val="clear" w:color="auto" w:fill="D9E2F3"/>
          </w:tcPr>
          <w:p w:rsidR="00B305CA" w:rsidRDefault="00B305CA" w:rsidP="00C46492"/>
        </w:tc>
        <w:tc>
          <w:tcPr>
            <w:tcW w:w="3105" w:type="dxa"/>
            <w:tcBorders>
              <w:top w:val="single" w:sz="1" w:space="0" w:color="D9E2F3"/>
              <w:left w:val="nil"/>
              <w:bottom w:val="single" w:sz="1" w:space="0" w:color="000000"/>
              <w:right w:val="nil"/>
            </w:tcBorders>
            <w:shd w:val="clear" w:color="auto" w:fill="D9E2F3"/>
          </w:tcPr>
          <w:p w:rsidR="00B305CA" w:rsidRDefault="00B305CA" w:rsidP="00C46492"/>
        </w:tc>
        <w:tc>
          <w:tcPr>
            <w:tcW w:w="103" w:type="dxa"/>
            <w:tcBorders>
              <w:top w:val="nil"/>
              <w:left w:val="nil"/>
              <w:bottom w:val="single" w:sz="1" w:space="0" w:color="000000"/>
              <w:right w:val="single" w:sz="1" w:space="0" w:color="000000"/>
            </w:tcBorders>
            <w:shd w:val="clear" w:color="auto" w:fill="D9E2F3"/>
          </w:tcPr>
          <w:p w:rsidR="00B305CA" w:rsidRDefault="00B305CA" w:rsidP="00C46492"/>
        </w:tc>
        <w:tc>
          <w:tcPr>
            <w:tcW w:w="112" w:type="dxa"/>
            <w:tcBorders>
              <w:top w:val="nil"/>
              <w:left w:val="single" w:sz="1" w:space="0" w:color="000000"/>
              <w:bottom w:val="single" w:sz="1" w:space="0" w:color="000000"/>
              <w:right w:val="nil"/>
            </w:tcBorders>
            <w:shd w:val="clear" w:color="auto" w:fill="D9E2F3"/>
          </w:tcPr>
          <w:p w:rsidR="00B305CA" w:rsidRDefault="00B305CA" w:rsidP="00C46492"/>
        </w:tc>
        <w:tc>
          <w:tcPr>
            <w:tcW w:w="5165" w:type="dxa"/>
            <w:tcBorders>
              <w:top w:val="single" w:sz="1" w:space="0" w:color="D9E2F3"/>
              <w:left w:val="nil"/>
              <w:bottom w:val="single" w:sz="1" w:space="0" w:color="000000"/>
              <w:right w:val="nil"/>
            </w:tcBorders>
            <w:shd w:val="clear" w:color="auto" w:fill="D9E2F3"/>
          </w:tcPr>
          <w:p w:rsidR="00B305CA" w:rsidRDefault="00B305CA" w:rsidP="00C46492"/>
        </w:tc>
        <w:tc>
          <w:tcPr>
            <w:tcW w:w="103" w:type="dxa"/>
            <w:tcBorders>
              <w:top w:val="nil"/>
              <w:left w:val="nil"/>
              <w:bottom w:val="single" w:sz="1" w:space="0" w:color="000000"/>
              <w:right w:val="single" w:sz="1" w:space="0" w:color="000000"/>
            </w:tcBorders>
            <w:shd w:val="clear" w:color="auto" w:fill="D9E2F3"/>
          </w:tcPr>
          <w:p w:rsidR="00B305CA" w:rsidRDefault="00B305CA" w:rsidP="00C46492"/>
        </w:tc>
      </w:tr>
      <w:tr w:rsidR="00B305CA" w:rsidTr="00C46492">
        <w:trPr>
          <w:trHeight w:val="422"/>
        </w:trPr>
        <w:tc>
          <w:tcPr>
            <w:tcW w:w="3321" w:type="dxa"/>
            <w:gridSpan w:val="3"/>
            <w:tcBorders>
              <w:top w:val="single" w:sz="1" w:space="0" w:color="000000"/>
              <w:left w:val="single" w:sz="1" w:space="0" w:color="000000"/>
              <w:bottom w:val="single" w:sz="1" w:space="0" w:color="000000"/>
              <w:right w:val="single" w:sz="1" w:space="0" w:color="000000"/>
            </w:tcBorders>
            <w:tcMar>
              <w:left w:w="112" w:type="dxa"/>
              <w:right w:w="1881" w:type="dxa"/>
            </w:tcMar>
          </w:tcPr>
          <w:p w:rsidR="00B305CA" w:rsidRDefault="00B305CA" w:rsidP="004802A6">
            <w:pPr>
              <w:spacing w:line="318" w:lineRule="exact"/>
              <w:ind w:right="-567"/>
            </w:pPr>
            <w:r>
              <w:rPr>
                <w:rFonts w:ascii="Calibri" w:eastAsia="Calibri" w:hAnsi="Calibri" w:cs="Calibri"/>
                <w:color w:val="000000"/>
              </w:rPr>
              <w:t>2</w:t>
            </w:r>
            <w:r w:rsidR="004802A6">
              <w:rPr>
                <w:rFonts w:ascii="Calibri" w:eastAsia="Calibri" w:hAnsi="Calibri" w:cs="Calibri"/>
                <w:color w:val="000000"/>
              </w:rPr>
              <w:t>0</w:t>
            </w:r>
            <w:r>
              <w:rPr>
                <w:rFonts w:ascii="Calibri" w:eastAsia="Calibri" w:hAnsi="Calibri" w:cs="Calibri"/>
                <w:color w:val="000000"/>
              </w:rPr>
              <w:t xml:space="preserve"> aout 2024 </w:t>
            </w:r>
          </w:p>
        </w:tc>
        <w:tc>
          <w:tcPr>
            <w:tcW w:w="5381" w:type="dxa"/>
            <w:gridSpan w:val="3"/>
            <w:tcBorders>
              <w:top w:val="single" w:sz="1" w:space="0" w:color="000000"/>
              <w:left w:val="single" w:sz="1" w:space="0" w:color="000000"/>
              <w:bottom w:val="single" w:sz="1" w:space="0" w:color="000000"/>
              <w:right w:val="single" w:sz="1" w:space="0" w:color="000000"/>
            </w:tcBorders>
            <w:tcMar>
              <w:left w:w="112" w:type="dxa"/>
              <w:right w:w="1989" w:type="dxa"/>
            </w:tcMar>
          </w:tcPr>
          <w:p w:rsidR="00B305CA" w:rsidRDefault="00B305CA" w:rsidP="00C46492">
            <w:pPr>
              <w:spacing w:before="53" w:line="220" w:lineRule="exact"/>
              <w:ind w:right="-567"/>
            </w:pPr>
            <w:r>
              <w:rPr>
                <w:rFonts w:ascii="Calibri" w:eastAsia="Calibri" w:hAnsi="Calibri" w:cs="Calibri"/>
                <w:color w:val="000000"/>
              </w:rPr>
              <w:t>Publication des Termes de référence </w:t>
            </w:r>
          </w:p>
        </w:tc>
      </w:tr>
      <w:tr w:rsidR="00B305CA" w:rsidTr="00C46492">
        <w:trPr>
          <w:trHeight w:val="427"/>
        </w:trPr>
        <w:tc>
          <w:tcPr>
            <w:tcW w:w="3321" w:type="dxa"/>
            <w:gridSpan w:val="3"/>
            <w:tcBorders>
              <w:top w:val="single" w:sz="1" w:space="0" w:color="000000"/>
              <w:left w:val="single" w:sz="1" w:space="0" w:color="000000"/>
              <w:bottom w:val="single" w:sz="1" w:space="0" w:color="000000"/>
              <w:right w:val="single" w:sz="1" w:space="0" w:color="000000"/>
            </w:tcBorders>
            <w:tcMar>
              <w:left w:w="112" w:type="dxa"/>
              <w:right w:w="1979" w:type="dxa"/>
            </w:tcMar>
          </w:tcPr>
          <w:p w:rsidR="00B305CA" w:rsidRDefault="00B305CA" w:rsidP="004802A6">
            <w:pPr>
              <w:spacing w:before="53" w:line="220" w:lineRule="exact"/>
              <w:ind w:right="-567"/>
            </w:pPr>
            <w:r>
              <w:rPr>
                <w:rFonts w:ascii="Calibri" w:eastAsia="Calibri" w:hAnsi="Calibri" w:cs="Calibri"/>
                <w:color w:val="000000"/>
              </w:rPr>
              <w:t>1</w:t>
            </w:r>
            <w:r w:rsidR="004802A6">
              <w:rPr>
                <w:rFonts w:ascii="Calibri" w:eastAsia="Calibri" w:hAnsi="Calibri" w:cs="Calibri"/>
                <w:color w:val="000000"/>
              </w:rPr>
              <w:t>5</w:t>
            </w:r>
            <w:bookmarkStart w:id="15" w:name="_GoBack"/>
            <w:bookmarkEnd w:id="15"/>
            <w:r>
              <w:rPr>
                <w:rFonts w:ascii="Calibri" w:eastAsia="Calibri" w:hAnsi="Calibri" w:cs="Calibri"/>
                <w:color w:val="000000"/>
              </w:rPr>
              <w:t> septembre 2024 </w:t>
            </w:r>
          </w:p>
        </w:tc>
        <w:tc>
          <w:tcPr>
            <w:tcW w:w="5381" w:type="dxa"/>
            <w:gridSpan w:val="3"/>
            <w:tcBorders>
              <w:top w:val="single" w:sz="1" w:space="0" w:color="000000"/>
              <w:left w:val="single" w:sz="1" w:space="0" w:color="000000"/>
              <w:bottom w:val="single" w:sz="1" w:space="0" w:color="000000"/>
              <w:right w:val="single" w:sz="1" w:space="0" w:color="000000"/>
            </w:tcBorders>
            <w:tcMar>
              <w:left w:w="112" w:type="dxa"/>
              <w:right w:w="1993" w:type="dxa"/>
            </w:tcMar>
          </w:tcPr>
          <w:p w:rsidR="00B305CA" w:rsidRDefault="00B305CA" w:rsidP="00C46492">
            <w:pPr>
              <w:spacing w:before="53" w:line="220" w:lineRule="exact"/>
              <w:ind w:right="-567"/>
            </w:pPr>
            <w:r>
              <w:rPr>
                <w:rFonts w:ascii="Calibri" w:eastAsia="Calibri" w:hAnsi="Calibri" w:cs="Calibri"/>
                <w:color w:val="000000"/>
              </w:rPr>
              <w:t>Date limite de soumission des offres </w:t>
            </w:r>
          </w:p>
        </w:tc>
      </w:tr>
      <w:tr w:rsidR="00B305CA" w:rsidTr="00C46492">
        <w:trPr>
          <w:trHeight w:val="430"/>
        </w:trPr>
        <w:tc>
          <w:tcPr>
            <w:tcW w:w="3321" w:type="dxa"/>
            <w:gridSpan w:val="3"/>
            <w:tcBorders>
              <w:top w:val="single" w:sz="1" w:space="0" w:color="000000"/>
              <w:left w:val="single" w:sz="1" w:space="0" w:color="000000"/>
              <w:bottom w:val="single" w:sz="1" w:space="0" w:color="000000"/>
              <w:right w:val="single" w:sz="1" w:space="0" w:color="000000"/>
            </w:tcBorders>
            <w:tcMar>
              <w:left w:w="112" w:type="dxa"/>
              <w:right w:w="2229" w:type="dxa"/>
            </w:tcMar>
          </w:tcPr>
          <w:p w:rsidR="00B305CA" w:rsidRDefault="00B305CA" w:rsidP="00C46492">
            <w:pPr>
              <w:spacing w:before="53" w:line="220" w:lineRule="exact"/>
              <w:ind w:right="-567"/>
            </w:pPr>
            <w:r>
              <w:rPr>
                <w:rFonts w:ascii="Calibri" w:eastAsia="Calibri" w:hAnsi="Calibri" w:cs="Calibri"/>
                <w:color w:val="000000"/>
              </w:rPr>
              <w:t>Septembre 2024 </w:t>
            </w:r>
          </w:p>
        </w:tc>
        <w:tc>
          <w:tcPr>
            <w:tcW w:w="5381" w:type="dxa"/>
            <w:gridSpan w:val="3"/>
            <w:tcBorders>
              <w:top w:val="single" w:sz="1" w:space="0" w:color="000000"/>
              <w:left w:val="single" w:sz="1" w:space="0" w:color="000000"/>
              <w:bottom w:val="single" w:sz="1" w:space="0" w:color="000000"/>
              <w:right w:val="single" w:sz="1" w:space="0" w:color="000000"/>
            </w:tcBorders>
            <w:tcMar>
              <w:left w:w="112" w:type="dxa"/>
              <w:right w:w="2516" w:type="dxa"/>
            </w:tcMar>
          </w:tcPr>
          <w:p w:rsidR="00B305CA" w:rsidRDefault="00B305CA" w:rsidP="00C46492">
            <w:pPr>
              <w:spacing w:before="53" w:line="220" w:lineRule="exact"/>
              <w:ind w:right="-567"/>
            </w:pPr>
            <w:r>
              <w:rPr>
                <w:rFonts w:ascii="Calibri" w:eastAsia="Calibri" w:hAnsi="Calibri" w:cs="Calibri"/>
                <w:color w:val="000000"/>
              </w:rPr>
              <w:t>Analyse et sélection des offres </w:t>
            </w:r>
          </w:p>
        </w:tc>
      </w:tr>
      <w:tr w:rsidR="00B305CA" w:rsidTr="00C46492">
        <w:trPr>
          <w:trHeight w:val="465"/>
        </w:trPr>
        <w:tc>
          <w:tcPr>
            <w:tcW w:w="3321" w:type="dxa"/>
            <w:gridSpan w:val="3"/>
            <w:tcBorders>
              <w:top w:val="single" w:sz="1" w:space="0" w:color="000000"/>
              <w:left w:val="single" w:sz="1" w:space="0" w:color="000000"/>
              <w:bottom w:val="single" w:sz="1" w:space="0" w:color="000000"/>
              <w:right w:val="single" w:sz="1" w:space="0" w:color="000000"/>
            </w:tcBorders>
            <w:tcMar>
              <w:left w:w="112" w:type="dxa"/>
              <w:right w:w="438" w:type="dxa"/>
            </w:tcMar>
          </w:tcPr>
          <w:p w:rsidR="00B305CA" w:rsidRDefault="00B305CA" w:rsidP="00C46492">
            <w:pPr>
              <w:spacing w:before="53" w:line="220" w:lineRule="exact"/>
              <w:ind w:right="-567"/>
            </w:pPr>
            <w:r>
              <w:rPr>
                <w:rFonts w:ascii="Calibri" w:eastAsia="Calibri" w:hAnsi="Calibri" w:cs="Calibri"/>
                <w:color w:val="000000"/>
              </w:rPr>
              <w:t>Semaine du 1</w:t>
            </w:r>
            <w:r w:rsidRPr="00A07369">
              <w:rPr>
                <w:rFonts w:ascii="Calibri" w:eastAsia="Calibri" w:hAnsi="Calibri" w:cs="Calibri"/>
                <w:color w:val="000000"/>
                <w:vertAlign w:val="superscript"/>
              </w:rPr>
              <w:t>er</w:t>
            </w:r>
            <w:r>
              <w:rPr>
                <w:rFonts w:ascii="Calibri" w:eastAsia="Calibri" w:hAnsi="Calibri" w:cs="Calibri"/>
                <w:color w:val="000000"/>
              </w:rPr>
              <w:t xml:space="preserve"> octobre 2024 </w:t>
            </w:r>
          </w:p>
        </w:tc>
        <w:tc>
          <w:tcPr>
            <w:tcW w:w="5381" w:type="dxa"/>
            <w:gridSpan w:val="3"/>
            <w:tcBorders>
              <w:top w:val="single" w:sz="1" w:space="0" w:color="000000"/>
              <w:left w:val="single" w:sz="1" w:space="0" w:color="000000"/>
              <w:bottom w:val="single" w:sz="1" w:space="0" w:color="000000"/>
              <w:right w:val="single" w:sz="1" w:space="0" w:color="000000"/>
            </w:tcBorders>
            <w:tcMar>
              <w:left w:w="112" w:type="dxa"/>
              <w:right w:w="3395" w:type="dxa"/>
            </w:tcMar>
          </w:tcPr>
          <w:p w:rsidR="00B305CA" w:rsidRDefault="00B305CA" w:rsidP="00C46492">
            <w:pPr>
              <w:spacing w:before="53" w:line="220" w:lineRule="exact"/>
              <w:ind w:right="-567"/>
            </w:pPr>
            <w:r>
              <w:rPr>
                <w:rFonts w:ascii="Calibri" w:eastAsia="Calibri" w:hAnsi="Calibri" w:cs="Calibri"/>
                <w:color w:val="000000"/>
              </w:rPr>
              <w:t>Signature du contrat </w:t>
            </w:r>
          </w:p>
        </w:tc>
      </w:tr>
      <w:tr w:rsidR="00B305CA" w:rsidTr="00C46492">
        <w:trPr>
          <w:trHeight w:val="410"/>
        </w:trPr>
        <w:tc>
          <w:tcPr>
            <w:tcW w:w="3321" w:type="dxa"/>
            <w:gridSpan w:val="3"/>
            <w:tcBorders>
              <w:top w:val="single" w:sz="1" w:space="0" w:color="000000"/>
              <w:left w:val="single" w:sz="1" w:space="0" w:color="000000"/>
              <w:bottom w:val="single" w:sz="1" w:space="0" w:color="000000"/>
              <w:right w:val="single" w:sz="1" w:space="0" w:color="000000"/>
            </w:tcBorders>
            <w:tcMar>
              <w:left w:w="112" w:type="dxa"/>
              <w:right w:w="325" w:type="dxa"/>
            </w:tcMar>
          </w:tcPr>
          <w:p w:rsidR="00B305CA" w:rsidRDefault="00B305CA" w:rsidP="00C46492">
            <w:pPr>
              <w:spacing w:before="53" w:line="220" w:lineRule="exact"/>
              <w:ind w:right="-567"/>
            </w:pPr>
            <w:r>
              <w:rPr>
                <w:rFonts w:ascii="Calibri" w:eastAsia="Calibri" w:hAnsi="Calibri" w:cs="Calibri"/>
                <w:color w:val="000000"/>
              </w:rPr>
              <w:t>Semaine du 10 octobre 2024 </w:t>
            </w:r>
          </w:p>
        </w:tc>
        <w:tc>
          <w:tcPr>
            <w:tcW w:w="5381" w:type="dxa"/>
            <w:gridSpan w:val="3"/>
            <w:tcBorders>
              <w:top w:val="single" w:sz="1" w:space="0" w:color="000000"/>
              <w:left w:val="single" w:sz="1" w:space="0" w:color="000000"/>
              <w:bottom w:val="single" w:sz="1" w:space="0" w:color="000000"/>
              <w:right w:val="single" w:sz="1" w:space="0" w:color="000000"/>
            </w:tcBorders>
            <w:tcMar>
              <w:left w:w="112" w:type="dxa"/>
              <w:right w:w="3453" w:type="dxa"/>
            </w:tcMar>
          </w:tcPr>
          <w:p w:rsidR="00B305CA" w:rsidRDefault="00B305CA" w:rsidP="00C46492">
            <w:pPr>
              <w:spacing w:before="53" w:line="220" w:lineRule="exact"/>
              <w:ind w:right="-567"/>
            </w:pPr>
            <w:r>
              <w:rPr>
                <w:rFonts w:ascii="Calibri" w:eastAsia="Calibri" w:hAnsi="Calibri" w:cs="Calibri"/>
                <w:color w:val="000000"/>
              </w:rPr>
              <w:t>Réunion de cadrage </w:t>
            </w:r>
          </w:p>
        </w:tc>
      </w:tr>
      <w:tr w:rsidR="00B305CA" w:rsidTr="00C46492">
        <w:trPr>
          <w:trHeight w:val="412"/>
        </w:trPr>
        <w:tc>
          <w:tcPr>
            <w:tcW w:w="3321" w:type="dxa"/>
            <w:gridSpan w:val="3"/>
            <w:tcBorders>
              <w:top w:val="single" w:sz="1" w:space="0" w:color="000000"/>
              <w:left w:val="single" w:sz="1" w:space="0" w:color="000000"/>
              <w:bottom w:val="single" w:sz="1" w:space="0" w:color="000000"/>
              <w:right w:val="single" w:sz="1" w:space="0" w:color="000000"/>
            </w:tcBorders>
            <w:tcMar>
              <w:left w:w="112" w:type="dxa"/>
              <w:right w:w="707" w:type="dxa"/>
            </w:tcMar>
          </w:tcPr>
          <w:p w:rsidR="00B305CA" w:rsidRDefault="00B305CA" w:rsidP="00C46492">
            <w:pPr>
              <w:spacing w:before="53" w:line="220" w:lineRule="exact"/>
              <w:ind w:right="-567"/>
            </w:pPr>
            <w:r>
              <w:rPr>
                <w:rFonts w:ascii="Calibri" w:eastAsia="Calibri" w:hAnsi="Calibri" w:cs="Calibri"/>
                <w:color w:val="000000"/>
              </w:rPr>
              <w:t>Semaine du 20 octobre 2024 </w:t>
            </w:r>
          </w:p>
        </w:tc>
        <w:tc>
          <w:tcPr>
            <w:tcW w:w="5381" w:type="dxa"/>
            <w:gridSpan w:val="3"/>
            <w:tcBorders>
              <w:top w:val="single" w:sz="1" w:space="0" w:color="000000"/>
              <w:left w:val="single" w:sz="1" w:space="0" w:color="000000"/>
              <w:bottom w:val="single" w:sz="1" w:space="0" w:color="000000"/>
              <w:right w:val="single" w:sz="1" w:space="0" w:color="000000"/>
            </w:tcBorders>
            <w:tcMar>
              <w:left w:w="112" w:type="dxa"/>
              <w:right w:w="274" w:type="dxa"/>
            </w:tcMar>
          </w:tcPr>
          <w:p w:rsidR="00B305CA" w:rsidRDefault="00B305CA" w:rsidP="00C46492">
            <w:pPr>
              <w:spacing w:before="53" w:line="220" w:lineRule="exact"/>
              <w:ind w:right="-567"/>
            </w:pPr>
            <w:r>
              <w:rPr>
                <w:rFonts w:ascii="Calibri" w:eastAsia="Calibri" w:hAnsi="Calibri" w:cs="Calibri"/>
                <w:color w:val="000000"/>
              </w:rPr>
              <w:t>Remise du rapport de démarrage et validation par le CP </w:t>
            </w:r>
          </w:p>
        </w:tc>
      </w:tr>
      <w:tr w:rsidR="00B305CA" w:rsidTr="00C46492">
        <w:trPr>
          <w:trHeight w:val="412"/>
        </w:trPr>
        <w:tc>
          <w:tcPr>
            <w:tcW w:w="3321" w:type="dxa"/>
            <w:gridSpan w:val="3"/>
            <w:tcBorders>
              <w:top w:val="single" w:sz="1" w:space="0" w:color="000000"/>
              <w:left w:val="single" w:sz="1" w:space="0" w:color="000000"/>
              <w:bottom w:val="single" w:sz="1" w:space="0" w:color="000000"/>
              <w:right w:val="single" w:sz="1" w:space="0" w:color="000000"/>
            </w:tcBorders>
            <w:tcMar>
              <w:left w:w="112" w:type="dxa"/>
              <w:right w:w="789" w:type="dxa"/>
            </w:tcMar>
          </w:tcPr>
          <w:p w:rsidR="00B305CA" w:rsidRDefault="00B305CA" w:rsidP="00C46492">
            <w:pPr>
              <w:spacing w:before="53" w:line="220" w:lineRule="exact"/>
              <w:ind w:right="-567"/>
            </w:pPr>
            <w:r>
              <w:rPr>
                <w:rFonts w:ascii="Calibri" w:eastAsia="Calibri" w:hAnsi="Calibri" w:cs="Calibri"/>
                <w:color w:val="000000"/>
              </w:rPr>
              <w:t>Novembre – décembre  2024 </w:t>
            </w:r>
          </w:p>
        </w:tc>
        <w:tc>
          <w:tcPr>
            <w:tcW w:w="5381" w:type="dxa"/>
            <w:gridSpan w:val="3"/>
            <w:tcBorders>
              <w:top w:val="single" w:sz="1" w:space="0" w:color="000000"/>
              <w:left w:val="single" w:sz="1" w:space="0" w:color="000000"/>
              <w:bottom w:val="single" w:sz="1" w:space="0" w:color="000000"/>
              <w:right w:val="single" w:sz="1" w:space="0" w:color="000000"/>
            </w:tcBorders>
            <w:tcMar>
              <w:left w:w="112" w:type="dxa"/>
              <w:right w:w="672" w:type="dxa"/>
            </w:tcMar>
          </w:tcPr>
          <w:p w:rsidR="00B305CA" w:rsidRDefault="00B305CA" w:rsidP="00C46492">
            <w:pPr>
              <w:spacing w:before="53" w:line="220" w:lineRule="exact"/>
              <w:ind w:right="-567"/>
            </w:pPr>
            <w:r>
              <w:rPr>
                <w:rFonts w:ascii="Calibri" w:eastAsia="Calibri" w:hAnsi="Calibri" w:cs="Calibri"/>
                <w:color w:val="000000"/>
              </w:rPr>
              <w:t>Collecte de données, enquêtes, mission sur le terrain </w:t>
            </w:r>
          </w:p>
        </w:tc>
      </w:tr>
      <w:tr w:rsidR="00B305CA" w:rsidTr="00C46492">
        <w:trPr>
          <w:trHeight w:val="547"/>
        </w:trPr>
        <w:tc>
          <w:tcPr>
            <w:tcW w:w="3321" w:type="dxa"/>
            <w:gridSpan w:val="3"/>
            <w:tcBorders>
              <w:top w:val="single" w:sz="1" w:space="0" w:color="000000"/>
              <w:left w:val="single" w:sz="1" w:space="0" w:color="000000"/>
              <w:bottom w:val="single" w:sz="1" w:space="0" w:color="000000"/>
              <w:right w:val="single" w:sz="1" w:space="0" w:color="000000"/>
            </w:tcBorders>
            <w:tcMar>
              <w:left w:w="112" w:type="dxa"/>
              <w:right w:w="1739" w:type="dxa"/>
            </w:tcMar>
          </w:tcPr>
          <w:p w:rsidR="00B305CA" w:rsidRDefault="00B305CA" w:rsidP="00C46492">
            <w:pPr>
              <w:spacing w:before="53" w:line="220" w:lineRule="exact"/>
              <w:ind w:right="-567"/>
            </w:pPr>
            <w:r>
              <w:rPr>
                <w:rFonts w:ascii="Calibri" w:eastAsia="Calibri" w:hAnsi="Calibri" w:cs="Calibri"/>
                <w:color w:val="000000"/>
              </w:rPr>
              <w:t>Décembre 2024 </w:t>
            </w:r>
          </w:p>
        </w:tc>
        <w:tc>
          <w:tcPr>
            <w:tcW w:w="5381" w:type="dxa"/>
            <w:gridSpan w:val="3"/>
            <w:tcBorders>
              <w:top w:val="single" w:sz="1" w:space="0" w:color="000000"/>
              <w:left w:val="single" w:sz="1" w:space="0" w:color="000000"/>
              <w:bottom w:val="single" w:sz="1" w:space="0" w:color="000000"/>
              <w:right w:val="single" w:sz="1" w:space="0" w:color="000000"/>
            </w:tcBorders>
            <w:tcMar>
              <w:left w:w="112" w:type="dxa"/>
              <w:right w:w="1715" w:type="dxa"/>
            </w:tcMar>
          </w:tcPr>
          <w:p w:rsidR="00B305CA" w:rsidRDefault="00B305CA" w:rsidP="00C46492">
            <w:pPr>
              <w:spacing w:before="53" w:line="244" w:lineRule="exact"/>
              <w:ind w:right="-567"/>
            </w:pPr>
            <w:r>
              <w:rPr>
                <w:rFonts w:ascii="Calibri" w:eastAsia="Calibri" w:hAnsi="Calibri" w:cs="Calibri"/>
                <w:color w:val="000000"/>
              </w:rPr>
              <w:t>Analyse, élaboration des conclusions et </w:t>
            </w:r>
            <w:r>
              <w:br/>
            </w:r>
            <w:r>
              <w:rPr>
                <w:rFonts w:ascii="Calibri" w:eastAsia="Calibri" w:hAnsi="Calibri" w:cs="Calibri"/>
                <w:color w:val="000000"/>
              </w:rPr>
              <w:t>recommandations </w:t>
            </w:r>
          </w:p>
        </w:tc>
      </w:tr>
      <w:tr w:rsidR="00B305CA" w:rsidTr="00C46492">
        <w:trPr>
          <w:trHeight w:val="481"/>
        </w:trPr>
        <w:tc>
          <w:tcPr>
            <w:tcW w:w="3321" w:type="dxa"/>
            <w:gridSpan w:val="3"/>
            <w:tcBorders>
              <w:top w:val="single" w:sz="1" w:space="0" w:color="000000"/>
              <w:left w:val="single" w:sz="1" w:space="0" w:color="000000"/>
              <w:bottom w:val="single" w:sz="1" w:space="0" w:color="000000"/>
              <w:right w:val="single" w:sz="1" w:space="0" w:color="000000"/>
            </w:tcBorders>
            <w:tcMar>
              <w:left w:w="112" w:type="dxa"/>
              <w:right w:w="796" w:type="dxa"/>
            </w:tcMar>
          </w:tcPr>
          <w:p w:rsidR="00B305CA" w:rsidRDefault="00B305CA" w:rsidP="00C02C8F">
            <w:pPr>
              <w:spacing w:before="53" w:line="220" w:lineRule="exact"/>
              <w:ind w:right="-567"/>
            </w:pPr>
            <w:r>
              <w:rPr>
                <w:rFonts w:ascii="Calibri" w:eastAsia="Calibri" w:hAnsi="Calibri" w:cs="Calibri"/>
                <w:color w:val="000000"/>
              </w:rPr>
              <w:t>Semaine du 6 janvier 202</w:t>
            </w:r>
            <w:r w:rsidR="00C02C8F">
              <w:rPr>
                <w:rFonts w:ascii="Calibri" w:eastAsia="Calibri" w:hAnsi="Calibri" w:cs="Calibri"/>
                <w:color w:val="000000"/>
              </w:rPr>
              <w:t>5</w:t>
            </w:r>
            <w:r>
              <w:rPr>
                <w:rFonts w:ascii="Calibri" w:eastAsia="Calibri" w:hAnsi="Calibri" w:cs="Calibri"/>
                <w:color w:val="000000"/>
              </w:rPr>
              <w:t> </w:t>
            </w:r>
          </w:p>
        </w:tc>
        <w:tc>
          <w:tcPr>
            <w:tcW w:w="5381" w:type="dxa"/>
            <w:gridSpan w:val="3"/>
            <w:tcBorders>
              <w:top w:val="single" w:sz="1" w:space="0" w:color="000000"/>
              <w:left w:val="single" w:sz="1" w:space="0" w:color="000000"/>
              <w:bottom w:val="single" w:sz="1" w:space="0" w:color="000000"/>
              <w:right w:val="single" w:sz="1" w:space="0" w:color="000000"/>
            </w:tcBorders>
            <w:tcMar>
              <w:left w:w="112" w:type="dxa"/>
              <w:right w:w="656" w:type="dxa"/>
            </w:tcMar>
          </w:tcPr>
          <w:p w:rsidR="00B305CA" w:rsidRDefault="00B305CA" w:rsidP="00C46492">
            <w:pPr>
              <w:spacing w:before="53" w:line="244" w:lineRule="exact"/>
              <w:ind w:right="-567"/>
            </w:pPr>
            <w:r>
              <w:rPr>
                <w:rFonts w:ascii="Calibri" w:eastAsia="Calibri" w:hAnsi="Calibri" w:cs="Calibri"/>
                <w:color w:val="000000"/>
              </w:rPr>
              <w:t>Réunions de restitution avec l’équipe</w:t>
            </w:r>
          </w:p>
        </w:tc>
      </w:tr>
      <w:tr w:rsidR="00B305CA" w:rsidTr="00C46492">
        <w:trPr>
          <w:trHeight w:val="417"/>
        </w:trPr>
        <w:tc>
          <w:tcPr>
            <w:tcW w:w="3321" w:type="dxa"/>
            <w:gridSpan w:val="3"/>
            <w:tcBorders>
              <w:top w:val="single" w:sz="1" w:space="0" w:color="000000"/>
              <w:left w:val="single" w:sz="1" w:space="0" w:color="000000"/>
              <w:bottom w:val="single" w:sz="1" w:space="0" w:color="000000"/>
              <w:right w:val="single" w:sz="1" w:space="0" w:color="000000"/>
            </w:tcBorders>
            <w:tcMar>
              <w:left w:w="112" w:type="dxa"/>
              <w:right w:w="685" w:type="dxa"/>
            </w:tcMar>
          </w:tcPr>
          <w:p w:rsidR="00B305CA" w:rsidRDefault="00B305CA" w:rsidP="00C46492">
            <w:pPr>
              <w:spacing w:before="53" w:line="220" w:lineRule="exact"/>
              <w:ind w:right="-567"/>
            </w:pPr>
            <w:r>
              <w:rPr>
                <w:rFonts w:ascii="Calibri" w:eastAsia="Calibri" w:hAnsi="Calibri" w:cs="Calibri"/>
                <w:color w:val="000000"/>
              </w:rPr>
              <w:t>Semaine du 27 janvier 2025 </w:t>
            </w:r>
          </w:p>
        </w:tc>
        <w:tc>
          <w:tcPr>
            <w:tcW w:w="5381" w:type="dxa"/>
            <w:gridSpan w:val="3"/>
            <w:tcBorders>
              <w:top w:val="single" w:sz="1" w:space="0" w:color="000000"/>
              <w:left w:val="single" w:sz="1" w:space="0" w:color="000000"/>
              <w:bottom w:val="single" w:sz="1" w:space="0" w:color="000000"/>
              <w:right w:val="single" w:sz="1" w:space="0" w:color="000000"/>
            </w:tcBorders>
            <w:tcMar>
              <w:left w:w="112" w:type="dxa"/>
              <w:right w:w="2435" w:type="dxa"/>
            </w:tcMar>
          </w:tcPr>
          <w:p w:rsidR="00B305CA" w:rsidRDefault="00B305CA" w:rsidP="00C46492">
            <w:pPr>
              <w:spacing w:before="53" w:line="220" w:lineRule="exact"/>
              <w:ind w:right="-567"/>
            </w:pPr>
            <w:r>
              <w:rPr>
                <w:rFonts w:ascii="Calibri" w:eastAsia="Calibri" w:hAnsi="Calibri" w:cs="Calibri"/>
                <w:color w:val="000000"/>
              </w:rPr>
              <w:t>Remise du rapport préliminaire </w:t>
            </w:r>
          </w:p>
        </w:tc>
      </w:tr>
      <w:tr w:rsidR="00B305CA" w:rsidTr="00C46492">
        <w:trPr>
          <w:trHeight w:val="436"/>
        </w:trPr>
        <w:tc>
          <w:tcPr>
            <w:tcW w:w="3321" w:type="dxa"/>
            <w:gridSpan w:val="3"/>
            <w:tcBorders>
              <w:top w:val="single" w:sz="1" w:space="0" w:color="000000"/>
              <w:left w:val="single" w:sz="1" w:space="0" w:color="000000"/>
              <w:bottom w:val="single" w:sz="1" w:space="0" w:color="000000"/>
              <w:right w:val="single" w:sz="1" w:space="0" w:color="000000"/>
            </w:tcBorders>
            <w:tcMar>
              <w:left w:w="112" w:type="dxa"/>
              <w:right w:w="707" w:type="dxa"/>
            </w:tcMar>
          </w:tcPr>
          <w:p w:rsidR="00B305CA" w:rsidRDefault="00B305CA" w:rsidP="00C46492">
            <w:pPr>
              <w:spacing w:before="53" w:line="220" w:lineRule="exact"/>
              <w:ind w:right="-567"/>
            </w:pPr>
            <w:r>
              <w:rPr>
                <w:rFonts w:ascii="Calibri" w:eastAsia="Calibri" w:hAnsi="Calibri" w:cs="Calibri"/>
                <w:color w:val="000000"/>
              </w:rPr>
              <w:t>Semaine du 24 février 2025 </w:t>
            </w:r>
          </w:p>
        </w:tc>
        <w:tc>
          <w:tcPr>
            <w:tcW w:w="5381" w:type="dxa"/>
            <w:gridSpan w:val="3"/>
            <w:tcBorders>
              <w:top w:val="single" w:sz="1" w:space="0" w:color="000000"/>
              <w:left w:val="single" w:sz="1" w:space="0" w:color="000000"/>
              <w:bottom w:val="single" w:sz="1" w:space="0" w:color="000000"/>
              <w:right w:val="single" w:sz="1" w:space="0" w:color="000000"/>
            </w:tcBorders>
            <w:tcMar>
              <w:left w:w="112" w:type="dxa"/>
              <w:right w:w="3125" w:type="dxa"/>
            </w:tcMar>
          </w:tcPr>
          <w:p w:rsidR="00B305CA" w:rsidRDefault="00B305CA" w:rsidP="00C46492">
            <w:pPr>
              <w:spacing w:before="53" w:line="220" w:lineRule="exact"/>
              <w:ind w:right="-567"/>
            </w:pPr>
            <w:r>
              <w:rPr>
                <w:rFonts w:ascii="Calibri" w:eastAsia="Calibri" w:hAnsi="Calibri" w:cs="Calibri"/>
                <w:color w:val="000000"/>
              </w:rPr>
              <w:t>Remise du rapport final </w:t>
            </w:r>
          </w:p>
        </w:tc>
      </w:tr>
    </w:tbl>
    <w:p w:rsidR="00B305CA" w:rsidRDefault="00B305CA" w:rsidP="00B305CA">
      <w:pPr>
        <w:rPr>
          <w:rFonts w:asciiTheme="majorHAnsi" w:hAnsiTheme="majorHAnsi" w:cstheme="majorHAnsi"/>
        </w:rPr>
      </w:pPr>
    </w:p>
    <w:p w:rsidR="00B305CA" w:rsidRDefault="00B305CA" w:rsidP="00B305CA">
      <w:pPr>
        <w:rPr>
          <w:rFonts w:asciiTheme="majorHAnsi" w:hAnsiTheme="majorHAnsi" w:cstheme="majorHAnsi"/>
        </w:rPr>
      </w:pPr>
    </w:p>
    <w:p w:rsidR="00B305CA" w:rsidRPr="00B305CA" w:rsidRDefault="00B305CA" w:rsidP="00B305CA">
      <w:pPr>
        <w:rPr>
          <w:rFonts w:asciiTheme="majorHAnsi" w:hAnsiTheme="majorHAnsi" w:cstheme="majorHAnsi"/>
        </w:rPr>
      </w:pPr>
      <w:bookmarkStart w:id="16" w:name="_Toc174543414"/>
      <w:r w:rsidRPr="00B305CA">
        <w:rPr>
          <w:rStyle w:val="Titre1Car"/>
        </w:rPr>
        <w:t>Profil de l’évaluateur·rice</w:t>
      </w:r>
      <w:bookmarkEnd w:id="16"/>
      <w:r w:rsidRPr="00B305CA">
        <w:rPr>
          <w:rStyle w:val="Titre1Car"/>
        </w:rPr>
        <w:t xml:space="preserve"> </w:t>
      </w:r>
    </w:p>
    <w:p w:rsidR="00B305CA" w:rsidRPr="00B305CA" w:rsidRDefault="00B305CA" w:rsidP="00B305CA">
      <w:pPr>
        <w:rPr>
          <w:rFonts w:asciiTheme="majorHAnsi" w:hAnsiTheme="majorHAnsi" w:cstheme="majorHAnsi"/>
        </w:rPr>
      </w:pPr>
      <w:r w:rsidRPr="00B305CA">
        <w:rPr>
          <w:rFonts w:asciiTheme="majorHAnsi" w:hAnsiTheme="majorHAnsi" w:cstheme="majorHAnsi"/>
        </w:rPr>
        <w:t xml:space="preserve"> La personne chargée de l’évaluation devra avoir les qualifications suivantes : </w:t>
      </w:r>
    </w:p>
    <w:p w:rsidR="00B305CA" w:rsidRPr="00B305CA" w:rsidRDefault="00B305CA" w:rsidP="00B305CA">
      <w:pPr>
        <w:rPr>
          <w:rFonts w:asciiTheme="majorHAnsi" w:hAnsiTheme="majorHAnsi" w:cstheme="majorHAnsi"/>
        </w:rPr>
      </w:pPr>
      <w:r w:rsidRPr="00B305CA">
        <w:rPr>
          <w:rFonts w:asciiTheme="majorHAnsi" w:hAnsiTheme="majorHAnsi" w:cstheme="majorHAnsi"/>
        </w:rPr>
        <w:t xml:space="preserve">-     Formation en sciences sociales ou tout autre domaine pertinent ; </w:t>
      </w:r>
    </w:p>
    <w:p w:rsidR="00B305CA" w:rsidRPr="00B305CA" w:rsidRDefault="00B305CA" w:rsidP="00B305CA">
      <w:pPr>
        <w:rPr>
          <w:rFonts w:asciiTheme="majorHAnsi" w:hAnsiTheme="majorHAnsi" w:cstheme="majorHAnsi"/>
        </w:rPr>
      </w:pPr>
      <w:r w:rsidRPr="00B305CA">
        <w:rPr>
          <w:rFonts w:asciiTheme="majorHAnsi" w:hAnsiTheme="majorHAnsi" w:cstheme="majorHAnsi"/>
        </w:rPr>
        <w:t>-     Expérience avérée en évaluation de projets/programme</w:t>
      </w:r>
      <w:r>
        <w:rPr>
          <w:rFonts w:asciiTheme="majorHAnsi" w:hAnsiTheme="majorHAnsi" w:cstheme="majorHAnsi"/>
        </w:rPr>
        <w:t xml:space="preserve">s de coopération internationale ; </w:t>
      </w:r>
      <w:r w:rsidRPr="00B305CA">
        <w:rPr>
          <w:rFonts w:asciiTheme="majorHAnsi" w:hAnsiTheme="majorHAnsi" w:cstheme="majorHAnsi"/>
        </w:rPr>
        <w:t xml:space="preserve"> </w:t>
      </w:r>
    </w:p>
    <w:p w:rsidR="00B305CA" w:rsidRPr="00B305CA" w:rsidRDefault="00B305CA" w:rsidP="00B305CA">
      <w:pPr>
        <w:rPr>
          <w:rFonts w:asciiTheme="majorHAnsi" w:hAnsiTheme="majorHAnsi" w:cstheme="majorHAnsi"/>
        </w:rPr>
      </w:pPr>
      <w:r w:rsidRPr="00B305CA">
        <w:rPr>
          <w:rFonts w:asciiTheme="majorHAnsi" w:hAnsiTheme="majorHAnsi" w:cstheme="majorHAnsi"/>
        </w:rPr>
        <w:t xml:space="preserve">-     Bonne compréhension du </w:t>
      </w:r>
      <w:r>
        <w:rPr>
          <w:rFonts w:asciiTheme="majorHAnsi" w:hAnsiTheme="majorHAnsi" w:cstheme="majorHAnsi"/>
        </w:rPr>
        <w:t xml:space="preserve">contexte local </w:t>
      </w:r>
      <w:r w:rsidRPr="00B305CA">
        <w:rPr>
          <w:rFonts w:asciiTheme="majorHAnsi" w:hAnsiTheme="majorHAnsi" w:cstheme="majorHAnsi"/>
        </w:rPr>
        <w:t xml:space="preserve">; </w:t>
      </w:r>
    </w:p>
    <w:p w:rsidR="00B305CA" w:rsidRPr="00B305CA" w:rsidRDefault="00B305CA" w:rsidP="00B305CA">
      <w:pPr>
        <w:rPr>
          <w:rFonts w:asciiTheme="majorHAnsi" w:hAnsiTheme="majorHAnsi" w:cstheme="majorHAnsi"/>
        </w:rPr>
      </w:pPr>
      <w:r w:rsidRPr="00B305CA">
        <w:rPr>
          <w:rFonts w:asciiTheme="majorHAnsi" w:hAnsiTheme="majorHAnsi" w:cstheme="majorHAnsi"/>
        </w:rPr>
        <w:t xml:space="preserve">-     Bonne connaissance du milieu belge de la Coopération internationale ; </w:t>
      </w:r>
    </w:p>
    <w:p w:rsidR="00B305CA" w:rsidRPr="00B305CA" w:rsidRDefault="00B305CA" w:rsidP="00B305CA">
      <w:pPr>
        <w:rPr>
          <w:rFonts w:asciiTheme="majorHAnsi" w:hAnsiTheme="majorHAnsi" w:cstheme="majorHAnsi"/>
        </w:rPr>
      </w:pPr>
      <w:r w:rsidRPr="00B305CA">
        <w:rPr>
          <w:rFonts w:asciiTheme="majorHAnsi" w:hAnsiTheme="majorHAnsi" w:cstheme="majorHAnsi"/>
        </w:rPr>
        <w:t>-     Expérience dans l’utilisation de méthodes de collecte de données participatives</w:t>
      </w:r>
      <w:r w:rsidR="00DB3F37">
        <w:rPr>
          <w:rFonts w:asciiTheme="majorHAnsi" w:hAnsiTheme="majorHAnsi" w:cstheme="majorHAnsi"/>
        </w:rPr>
        <w:t xml:space="preserve"> </w:t>
      </w:r>
      <w:r w:rsidRPr="00B305CA">
        <w:rPr>
          <w:rFonts w:asciiTheme="majorHAnsi" w:hAnsiTheme="majorHAnsi" w:cstheme="majorHAnsi"/>
        </w:rPr>
        <w:t xml:space="preserve">; </w:t>
      </w:r>
    </w:p>
    <w:p w:rsidR="00B305CA" w:rsidRPr="00B305CA" w:rsidRDefault="00B305CA" w:rsidP="00B305CA">
      <w:pPr>
        <w:rPr>
          <w:rFonts w:asciiTheme="majorHAnsi" w:hAnsiTheme="majorHAnsi" w:cstheme="majorHAnsi"/>
        </w:rPr>
      </w:pPr>
      <w:r w:rsidRPr="00B305CA">
        <w:rPr>
          <w:rFonts w:asciiTheme="majorHAnsi" w:hAnsiTheme="majorHAnsi" w:cstheme="majorHAnsi"/>
        </w:rPr>
        <w:t>-     Excellente capacité d’analyse, de synthèse, de rédaction et de communication en français</w:t>
      </w:r>
      <w:r w:rsidR="00DB3F37">
        <w:rPr>
          <w:rFonts w:asciiTheme="majorHAnsi" w:hAnsiTheme="majorHAnsi" w:cstheme="majorHAnsi"/>
        </w:rPr>
        <w:t>.</w:t>
      </w:r>
    </w:p>
    <w:p w:rsidR="00B305CA" w:rsidRDefault="00B305CA" w:rsidP="00DB3F37">
      <w:pPr>
        <w:pStyle w:val="Titre1"/>
      </w:pPr>
      <w:bookmarkStart w:id="17" w:name="_Toc174543415"/>
      <w:r w:rsidRPr="00B305CA">
        <w:lastRenderedPageBreak/>
        <w:t>Budget</w:t>
      </w:r>
      <w:bookmarkEnd w:id="17"/>
    </w:p>
    <w:p w:rsidR="00B305CA" w:rsidRDefault="00B305CA" w:rsidP="00B305CA">
      <w:pPr>
        <w:rPr>
          <w:rFonts w:asciiTheme="majorHAnsi" w:hAnsiTheme="majorHAnsi" w:cstheme="majorHAnsi"/>
        </w:rPr>
      </w:pPr>
    </w:p>
    <w:p w:rsidR="00DB3F37" w:rsidRPr="00DB3F37" w:rsidRDefault="00DB3F37" w:rsidP="00DB3F37">
      <w:pPr>
        <w:rPr>
          <w:rFonts w:asciiTheme="majorHAnsi" w:hAnsiTheme="majorHAnsi" w:cstheme="majorHAnsi"/>
        </w:rPr>
      </w:pPr>
      <w:r w:rsidRPr="00DB3F37">
        <w:rPr>
          <w:rFonts w:asciiTheme="majorHAnsi" w:hAnsiTheme="majorHAnsi" w:cstheme="majorHAnsi"/>
        </w:rPr>
        <w:t xml:space="preserve">Le budget maximal disponible pour la réalisation de l’évaluation mi-parcours est de </w:t>
      </w:r>
      <w:r>
        <w:rPr>
          <w:rFonts w:asciiTheme="majorHAnsi" w:hAnsiTheme="majorHAnsi" w:cstheme="majorHAnsi"/>
        </w:rPr>
        <w:t>6</w:t>
      </w:r>
      <w:r w:rsidRPr="00DB3F37">
        <w:rPr>
          <w:rFonts w:asciiTheme="majorHAnsi" w:hAnsiTheme="majorHAnsi" w:cstheme="majorHAnsi"/>
        </w:rPr>
        <w:t xml:space="preserve">.000 euros TTC. </w:t>
      </w:r>
    </w:p>
    <w:p w:rsidR="00DB3F37" w:rsidRPr="00DB3F37" w:rsidRDefault="00DB3F37" w:rsidP="00DB3F37">
      <w:pPr>
        <w:rPr>
          <w:rFonts w:asciiTheme="majorHAnsi" w:hAnsiTheme="majorHAnsi" w:cstheme="majorHAnsi"/>
        </w:rPr>
      </w:pPr>
      <w:r w:rsidRPr="00DB3F37">
        <w:rPr>
          <w:rFonts w:asciiTheme="majorHAnsi" w:hAnsiTheme="majorHAnsi" w:cstheme="majorHAnsi"/>
        </w:rPr>
        <w:t xml:space="preserve">L’offre budgétaire proposée par l’évaluateur·rice devra inclure </w:t>
      </w:r>
      <w:r>
        <w:rPr>
          <w:rFonts w:asciiTheme="majorHAnsi" w:hAnsiTheme="majorHAnsi" w:cstheme="majorHAnsi"/>
        </w:rPr>
        <w:t>l</w:t>
      </w:r>
      <w:r w:rsidRPr="00DB3F37">
        <w:rPr>
          <w:rFonts w:asciiTheme="majorHAnsi" w:hAnsiTheme="majorHAnsi" w:cstheme="majorHAnsi"/>
        </w:rPr>
        <w:t>es honoraires, le temps de tra</w:t>
      </w:r>
      <w:r>
        <w:rPr>
          <w:rFonts w:asciiTheme="majorHAnsi" w:hAnsiTheme="majorHAnsi" w:cstheme="majorHAnsi"/>
        </w:rPr>
        <w:t>vail, les frais de déplacement (en ce compris frais de mission internationale), l</w:t>
      </w:r>
      <w:r w:rsidRPr="00DB3F37">
        <w:rPr>
          <w:rFonts w:asciiTheme="majorHAnsi" w:hAnsiTheme="majorHAnsi" w:cstheme="majorHAnsi"/>
        </w:rPr>
        <w:t>e matériel nécessaire à la prise de note et à l’élaboration du rapport final et tous frais inhérents à la</w:t>
      </w:r>
      <w:r>
        <w:rPr>
          <w:rFonts w:asciiTheme="majorHAnsi" w:hAnsiTheme="majorHAnsi" w:cstheme="majorHAnsi"/>
        </w:rPr>
        <w:t xml:space="preserve"> c</w:t>
      </w:r>
      <w:r w:rsidRPr="00DB3F37">
        <w:rPr>
          <w:rFonts w:asciiTheme="majorHAnsi" w:hAnsiTheme="majorHAnsi" w:cstheme="majorHAnsi"/>
        </w:rPr>
        <w:t xml:space="preserve">onduite de la mission. </w:t>
      </w:r>
    </w:p>
    <w:p w:rsidR="00DB3F37" w:rsidRPr="00DB3F37" w:rsidRDefault="00DB3F37" w:rsidP="00DB3F37">
      <w:pPr>
        <w:pStyle w:val="Titre1"/>
      </w:pPr>
      <w:bookmarkStart w:id="18" w:name="_Toc174543416"/>
      <w:r>
        <w:t>C</w:t>
      </w:r>
      <w:r w:rsidRPr="00DB3F37">
        <w:t>andidatures</w:t>
      </w:r>
      <w:bookmarkEnd w:id="18"/>
      <w:r w:rsidRPr="00DB3F37">
        <w:t xml:space="preserve"> </w:t>
      </w:r>
    </w:p>
    <w:p w:rsidR="00DB3F37" w:rsidRPr="00DB3F37" w:rsidRDefault="00DB3F37" w:rsidP="00DB3F37">
      <w:pPr>
        <w:rPr>
          <w:rFonts w:asciiTheme="majorHAnsi" w:hAnsiTheme="majorHAnsi" w:cstheme="majorHAnsi"/>
        </w:rPr>
      </w:pPr>
      <w:r w:rsidRPr="00DB3F37">
        <w:rPr>
          <w:rFonts w:asciiTheme="majorHAnsi" w:hAnsiTheme="majorHAnsi" w:cstheme="majorHAnsi"/>
        </w:rPr>
        <w:t xml:space="preserve"> </w:t>
      </w:r>
    </w:p>
    <w:p w:rsidR="00DB3F37" w:rsidRPr="00DB3F37" w:rsidRDefault="00DB3F37" w:rsidP="00DB3F37">
      <w:pPr>
        <w:pStyle w:val="Titre2"/>
      </w:pPr>
      <w:bookmarkStart w:id="19" w:name="_Toc174543417"/>
      <w:r w:rsidRPr="00DB3F37">
        <w:t>8.1. Contenu de l’Offre</w:t>
      </w:r>
      <w:bookmarkEnd w:id="19"/>
      <w:r w:rsidRPr="00DB3F37">
        <w:t xml:space="preserve"> </w:t>
      </w:r>
    </w:p>
    <w:p w:rsidR="00DB3F37" w:rsidRPr="00DB3F37" w:rsidRDefault="00DB3F37" w:rsidP="00DB3F37">
      <w:pPr>
        <w:rPr>
          <w:rFonts w:asciiTheme="majorHAnsi" w:hAnsiTheme="majorHAnsi" w:cstheme="majorHAnsi"/>
        </w:rPr>
      </w:pPr>
      <w:r w:rsidRPr="00DB3F37">
        <w:rPr>
          <w:rFonts w:asciiTheme="majorHAnsi" w:hAnsiTheme="majorHAnsi" w:cstheme="majorHAnsi"/>
        </w:rPr>
        <w:t xml:space="preserve">Les </w:t>
      </w:r>
      <w:proofErr w:type="spellStart"/>
      <w:r w:rsidRPr="00DB3F37">
        <w:rPr>
          <w:rFonts w:asciiTheme="majorHAnsi" w:hAnsiTheme="majorHAnsi" w:cstheme="majorHAnsi"/>
        </w:rPr>
        <w:t>candidat·e·s</w:t>
      </w:r>
      <w:proofErr w:type="spellEnd"/>
      <w:r w:rsidRPr="00DB3F37">
        <w:rPr>
          <w:rFonts w:asciiTheme="majorHAnsi" w:hAnsiTheme="majorHAnsi" w:cstheme="majorHAnsi"/>
        </w:rPr>
        <w:t xml:space="preserve"> </w:t>
      </w:r>
      <w:proofErr w:type="spellStart"/>
      <w:r w:rsidRPr="00DB3F37">
        <w:rPr>
          <w:rFonts w:asciiTheme="majorHAnsi" w:hAnsiTheme="majorHAnsi" w:cstheme="majorHAnsi"/>
        </w:rPr>
        <w:t>intéressé·e·s</w:t>
      </w:r>
      <w:proofErr w:type="spellEnd"/>
      <w:r w:rsidRPr="00DB3F37">
        <w:rPr>
          <w:rFonts w:asciiTheme="majorHAnsi" w:hAnsiTheme="majorHAnsi" w:cstheme="majorHAnsi"/>
        </w:rPr>
        <w:t xml:space="preserve"> sont invité·e·s à soumettre une offre contenant les éléments suivants : </w:t>
      </w:r>
    </w:p>
    <w:p w:rsidR="00DB3F37" w:rsidRPr="00DB3F37" w:rsidRDefault="00DB3F37" w:rsidP="00DB3F37">
      <w:pPr>
        <w:rPr>
          <w:rFonts w:asciiTheme="majorHAnsi" w:hAnsiTheme="majorHAnsi" w:cstheme="majorHAnsi"/>
        </w:rPr>
      </w:pPr>
      <w:r w:rsidRPr="00DB3F37">
        <w:rPr>
          <w:rFonts w:asciiTheme="majorHAnsi" w:hAnsiTheme="majorHAnsi" w:cstheme="majorHAnsi"/>
        </w:rPr>
        <w:t>- Une proposition technique (30 points), contenant une note de compréhension des termes de référence, la méthodologie de réalisation de l’évaluation, les dispositions éthiques propos</w:t>
      </w:r>
      <w:r>
        <w:rPr>
          <w:rFonts w:asciiTheme="majorHAnsi" w:hAnsiTheme="majorHAnsi" w:cstheme="majorHAnsi"/>
        </w:rPr>
        <w:t>ées et un calendrier détaillé ;</w:t>
      </w:r>
    </w:p>
    <w:p w:rsidR="00DB3F37" w:rsidRPr="00DB3F37" w:rsidRDefault="00DB3F37" w:rsidP="00DB3F37">
      <w:pPr>
        <w:rPr>
          <w:rFonts w:asciiTheme="majorHAnsi" w:hAnsiTheme="majorHAnsi" w:cstheme="majorHAnsi"/>
        </w:rPr>
      </w:pPr>
      <w:r w:rsidRPr="00DB3F37">
        <w:rPr>
          <w:rFonts w:asciiTheme="majorHAnsi" w:hAnsiTheme="majorHAnsi" w:cstheme="majorHAnsi"/>
        </w:rPr>
        <w:t>- Un CV détaillé (40 points) précisant les qualifications et expériences pertinentes po</w:t>
      </w:r>
      <w:r>
        <w:rPr>
          <w:rFonts w:asciiTheme="majorHAnsi" w:hAnsiTheme="majorHAnsi" w:cstheme="majorHAnsi"/>
        </w:rPr>
        <w:t xml:space="preserve">ur la conduite de cette mission ; </w:t>
      </w:r>
      <w:r w:rsidRPr="00DB3F37">
        <w:rPr>
          <w:rFonts w:asciiTheme="majorHAnsi" w:hAnsiTheme="majorHAnsi" w:cstheme="majorHAnsi"/>
        </w:rPr>
        <w:t xml:space="preserve"> </w:t>
      </w:r>
    </w:p>
    <w:p w:rsidR="00DB3F37" w:rsidRPr="00DB3F37" w:rsidRDefault="00DB3F37" w:rsidP="00DB3F37">
      <w:pPr>
        <w:rPr>
          <w:rFonts w:asciiTheme="majorHAnsi" w:hAnsiTheme="majorHAnsi" w:cstheme="majorHAnsi"/>
        </w:rPr>
      </w:pPr>
      <w:r w:rsidRPr="00DB3F37">
        <w:rPr>
          <w:rFonts w:asciiTheme="majorHAnsi" w:hAnsiTheme="majorHAnsi" w:cstheme="majorHAnsi"/>
        </w:rPr>
        <w:t>- Une offre financière détaillée (30 points) tenant compte des éléments de calendrier</w:t>
      </w:r>
      <w:r>
        <w:rPr>
          <w:rFonts w:asciiTheme="majorHAnsi" w:hAnsiTheme="majorHAnsi" w:cstheme="majorHAnsi"/>
        </w:rPr>
        <w:t>.</w:t>
      </w:r>
      <w:r w:rsidRPr="00DB3F37">
        <w:rPr>
          <w:rFonts w:asciiTheme="majorHAnsi" w:hAnsiTheme="majorHAnsi" w:cstheme="majorHAnsi"/>
        </w:rPr>
        <w:t xml:space="preserve"> </w:t>
      </w:r>
    </w:p>
    <w:p w:rsidR="00DB3F37" w:rsidRPr="00DB3F37" w:rsidRDefault="00DB3F37" w:rsidP="00DB3F37">
      <w:pPr>
        <w:pStyle w:val="Titre2"/>
      </w:pPr>
      <w:bookmarkStart w:id="20" w:name="_Toc174543418"/>
      <w:r>
        <w:t>8</w:t>
      </w:r>
      <w:r w:rsidRPr="00DB3F37">
        <w:t>.2. Procédure de soumission</w:t>
      </w:r>
      <w:bookmarkEnd w:id="20"/>
      <w:r w:rsidRPr="00DB3F37">
        <w:t xml:space="preserve"> </w:t>
      </w:r>
    </w:p>
    <w:p w:rsidR="00DB3F37" w:rsidRDefault="00DB3F37" w:rsidP="00DB3F37">
      <w:pPr>
        <w:rPr>
          <w:rFonts w:asciiTheme="majorHAnsi" w:hAnsiTheme="majorHAnsi" w:cstheme="majorHAnsi"/>
        </w:rPr>
      </w:pPr>
      <w:r w:rsidRPr="00DB3F37">
        <w:rPr>
          <w:rFonts w:asciiTheme="majorHAnsi" w:hAnsiTheme="majorHAnsi" w:cstheme="majorHAnsi"/>
        </w:rPr>
        <w:t>La date limite de réception des offres techniques et financières est le 1</w:t>
      </w:r>
      <w:r>
        <w:rPr>
          <w:rFonts w:asciiTheme="majorHAnsi" w:hAnsiTheme="majorHAnsi" w:cstheme="majorHAnsi"/>
        </w:rPr>
        <w:t>0</w:t>
      </w:r>
      <w:r w:rsidRPr="00DB3F37">
        <w:rPr>
          <w:rFonts w:asciiTheme="majorHAnsi" w:hAnsiTheme="majorHAnsi" w:cstheme="majorHAnsi"/>
        </w:rPr>
        <w:t xml:space="preserve"> </w:t>
      </w:r>
      <w:r>
        <w:rPr>
          <w:rFonts w:asciiTheme="majorHAnsi" w:hAnsiTheme="majorHAnsi" w:cstheme="majorHAnsi"/>
        </w:rPr>
        <w:t xml:space="preserve">septembre </w:t>
      </w:r>
      <w:r w:rsidRPr="00DB3F37">
        <w:rPr>
          <w:rFonts w:asciiTheme="majorHAnsi" w:hAnsiTheme="majorHAnsi" w:cstheme="majorHAnsi"/>
        </w:rPr>
        <w:t xml:space="preserve">2024. </w:t>
      </w:r>
    </w:p>
    <w:p w:rsidR="00DB3F37" w:rsidRPr="00DB3F37" w:rsidRDefault="00DB3F37" w:rsidP="00DB3F37">
      <w:pPr>
        <w:rPr>
          <w:rFonts w:asciiTheme="majorHAnsi" w:hAnsiTheme="majorHAnsi" w:cstheme="majorHAnsi"/>
        </w:rPr>
      </w:pPr>
      <w:r w:rsidRPr="00DB3F37">
        <w:rPr>
          <w:rFonts w:asciiTheme="majorHAnsi" w:hAnsiTheme="majorHAnsi" w:cstheme="majorHAnsi"/>
        </w:rPr>
        <w:t>Merci de les</w:t>
      </w:r>
      <w:r>
        <w:rPr>
          <w:rFonts w:asciiTheme="majorHAnsi" w:hAnsiTheme="majorHAnsi" w:cstheme="majorHAnsi"/>
        </w:rPr>
        <w:t xml:space="preserve"> </w:t>
      </w:r>
      <w:r w:rsidRPr="00DB3F37">
        <w:rPr>
          <w:rFonts w:asciiTheme="majorHAnsi" w:hAnsiTheme="majorHAnsi" w:cstheme="majorHAnsi"/>
        </w:rPr>
        <w:t>adresser par courrier électronique, avec m</w:t>
      </w:r>
      <w:r>
        <w:rPr>
          <w:rFonts w:asciiTheme="majorHAnsi" w:hAnsiTheme="majorHAnsi" w:cstheme="majorHAnsi"/>
        </w:rPr>
        <w:t>ention « Evaluation mi-parcours P</w:t>
      </w:r>
      <w:r w:rsidRPr="00DB3F37">
        <w:rPr>
          <w:rFonts w:asciiTheme="majorHAnsi" w:hAnsiTheme="majorHAnsi" w:cstheme="majorHAnsi"/>
        </w:rPr>
        <w:t xml:space="preserve">rogramme DGD 22-26 » à </w:t>
      </w:r>
      <w:r>
        <w:rPr>
          <w:rFonts w:asciiTheme="majorHAnsi" w:hAnsiTheme="majorHAnsi" w:cstheme="majorHAnsi"/>
        </w:rPr>
        <w:t>Maud Jacobs</w:t>
      </w:r>
      <w:r w:rsidRPr="00DB3F37">
        <w:rPr>
          <w:rFonts w:asciiTheme="majorHAnsi" w:hAnsiTheme="majorHAnsi" w:cstheme="majorHAnsi"/>
        </w:rPr>
        <w:t xml:space="preserve"> </w:t>
      </w:r>
      <w:hyperlink r:id="rId8" w:history="1">
        <w:r w:rsidRPr="005B2271">
          <w:rPr>
            <w:rStyle w:val="Lienhypertexte"/>
            <w:rFonts w:asciiTheme="majorHAnsi" w:hAnsiTheme="majorHAnsi" w:cstheme="majorHAnsi"/>
          </w:rPr>
          <w:t>maud.jacobs@lhac.be</w:t>
        </w:r>
      </w:hyperlink>
      <w:r>
        <w:rPr>
          <w:rFonts w:asciiTheme="majorHAnsi" w:hAnsiTheme="majorHAnsi" w:cstheme="majorHAnsi"/>
        </w:rPr>
        <w:t xml:space="preserve"> </w:t>
      </w:r>
    </w:p>
    <w:p w:rsidR="00DB3F37" w:rsidRPr="00DB3F37" w:rsidRDefault="00DB3F37" w:rsidP="00DB3F37">
      <w:pPr>
        <w:rPr>
          <w:rFonts w:asciiTheme="majorHAnsi" w:hAnsiTheme="majorHAnsi" w:cstheme="majorHAnsi"/>
        </w:rPr>
      </w:pPr>
      <w:r w:rsidRPr="00DB3F37">
        <w:rPr>
          <w:rFonts w:asciiTheme="majorHAnsi" w:hAnsiTheme="majorHAnsi" w:cstheme="majorHAnsi"/>
        </w:rPr>
        <w:t xml:space="preserve">Pour toute question ou remarque concernant cet appel d’offre, merci de nous contacter par e-mail </w:t>
      </w:r>
      <w:r>
        <w:rPr>
          <w:rFonts w:asciiTheme="majorHAnsi" w:hAnsiTheme="majorHAnsi" w:cstheme="majorHAnsi"/>
        </w:rPr>
        <w:t>à la même adresse</w:t>
      </w:r>
      <w:r w:rsidRPr="00DB3F37">
        <w:rPr>
          <w:rFonts w:asciiTheme="majorHAnsi" w:hAnsiTheme="majorHAnsi" w:cstheme="majorHAnsi"/>
        </w:rPr>
        <w:t>.</w:t>
      </w:r>
    </w:p>
    <w:sectPr w:rsidR="00DB3F37" w:rsidRPr="00DB3F37" w:rsidSect="00C54CD3">
      <w:headerReference w:type="default" r:id="rId9"/>
      <w:headerReference w:type="first" r:id="rId10"/>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345" w:rsidRDefault="00994345" w:rsidP="00B13AEF">
      <w:pPr>
        <w:spacing w:after="0" w:line="240" w:lineRule="auto"/>
      </w:pPr>
      <w:r>
        <w:separator/>
      </w:r>
    </w:p>
  </w:endnote>
  <w:endnote w:type="continuationSeparator" w:id="0">
    <w:p w:rsidR="00994345" w:rsidRDefault="00994345" w:rsidP="00B13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345" w:rsidRDefault="00994345" w:rsidP="00B13AEF">
      <w:pPr>
        <w:spacing w:after="0" w:line="240" w:lineRule="auto"/>
      </w:pPr>
      <w:r>
        <w:separator/>
      </w:r>
    </w:p>
  </w:footnote>
  <w:footnote w:type="continuationSeparator" w:id="0">
    <w:p w:rsidR="00994345" w:rsidRDefault="00994345" w:rsidP="00B13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C1E" w:rsidRDefault="00897C1E" w:rsidP="00B13AEF">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C1E" w:rsidRDefault="00897C1E" w:rsidP="00B13AEF">
    <w:pPr>
      <w:pStyle w:val="En-tte"/>
      <w:jc w:val="center"/>
    </w:pPr>
    <w:r>
      <w:rPr>
        <w:noProof/>
        <w:lang w:eastAsia="fr-BE"/>
      </w:rPr>
      <w:drawing>
        <wp:inline distT="0" distB="0" distL="0" distR="0" wp14:anchorId="09B1C772" wp14:editId="043D1A0A">
          <wp:extent cx="3610501" cy="88392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AC_Ecran_Gr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21976" cy="8867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2AA4"/>
    <w:multiLevelType w:val="hybridMultilevel"/>
    <w:tmpl w:val="F8AA44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C371682"/>
    <w:multiLevelType w:val="hybridMultilevel"/>
    <w:tmpl w:val="8258FF2E"/>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2" w15:restartNumberingAfterBreak="0">
    <w:nsid w:val="1CE23542"/>
    <w:multiLevelType w:val="hybridMultilevel"/>
    <w:tmpl w:val="89A4F0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3BA502E"/>
    <w:multiLevelType w:val="hybridMultilevel"/>
    <w:tmpl w:val="81A888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F102483"/>
    <w:multiLevelType w:val="hybridMultilevel"/>
    <w:tmpl w:val="F4A64D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7BF4A31"/>
    <w:multiLevelType w:val="hybridMultilevel"/>
    <w:tmpl w:val="EC70094E"/>
    <w:lvl w:ilvl="0" w:tplc="6A604ED8">
      <w:start w:val="3"/>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2086761"/>
    <w:multiLevelType w:val="hybridMultilevel"/>
    <w:tmpl w:val="92AEC4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C380AFE"/>
    <w:multiLevelType w:val="hybridMultilevel"/>
    <w:tmpl w:val="D7D81228"/>
    <w:lvl w:ilvl="0" w:tplc="6A604ED8">
      <w:start w:val="3"/>
      <w:numFmt w:val="bullet"/>
      <w:lvlText w:val="-"/>
      <w:lvlJc w:val="left"/>
      <w:pPr>
        <w:ind w:left="768" w:hanging="360"/>
      </w:pPr>
      <w:rPr>
        <w:rFonts w:ascii="Calibri Light" w:eastAsiaTheme="minorHAnsi" w:hAnsi="Calibri Light" w:cs="Calibri Light"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8" w15:restartNumberingAfterBreak="0">
    <w:nsid w:val="64FB406C"/>
    <w:multiLevelType w:val="hybridMultilevel"/>
    <w:tmpl w:val="9FA4D42E"/>
    <w:lvl w:ilvl="0" w:tplc="6A604ED8">
      <w:start w:val="3"/>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6FA59F8"/>
    <w:multiLevelType w:val="hybridMultilevel"/>
    <w:tmpl w:val="A5FAD3C6"/>
    <w:lvl w:ilvl="0" w:tplc="6A604ED8">
      <w:start w:val="3"/>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1DC66E3"/>
    <w:multiLevelType w:val="multilevel"/>
    <w:tmpl w:val="B724686C"/>
    <w:lvl w:ilvl="0">
      <w:start w:val="1"/>
      <w:numFmt w:val="decimal"/>
      <w:lvlText w:val="%1."/>
      <w:lvlJc w:val="left"/>
      <w:pPr>
        <w:ind w:left="444" w:hanging="444"/>
      </w:pPr>
      <w:rPr>
        <w:rFonts w:hint="default"/>
      </w:rPr>
    </w:lvl>
    <w:lvl w:ilvl="1">
      <w:start w:val="1"/>
      <w:numFmt w:val="decimal"/>
      <w:lvlText w:val="%1.%2."/>
      <w:lvlJc w:val="left"/>
      <w:pPr>
        <w:ind w:left="504" w:hanging="444"/>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1" w15:restartNumberingAfterBreak="0">
    <w:nsid w:val="73957823"/>
    <w:multiLevelType w:val="hybridMultilevel"/>
    <w:tmpl w:val="37FC13EC"/>
    <w:lvl w:ilvl="0" w:tplc="6A604ED8">
      <w:start w:val="3"/>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C3015BD"/>
    <w:multiLevelType w:val="hybridMultilevel"/>
    <w:tmpl w:val="6D6ADE3C"/>
    <w:lvl w:ilvl="0" w:tplc="6A604ED8">
      <w:start w:val="3"/>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3"/>
  </w:num>
  <w:num w:numId="5">
    <w:abstractNumId w:val="4"/>
  </w:num>
  <w:num w:numId="6">
    <w:abstractNumId w:val="8"/>
  </w:num>
  <w:num w:numId="7">
    <w:abstractNumId w:val="1"/>
  </w:num>
  <w:num w:numId="8">
    <w:abstractNumId w:val="6"/>
  </w:num>
  <w:num w:numId="9">
    <w:abstractNumId w:val="12"/>
  </w:num>
  <w:num w:numId="10">
    <w:abstractNumId w:val="5"/>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EF"/>
    <w:rsid w:val="001C457A"/>
    <w:rsid w:val="00262160"/>
    <w:rsid w:val="002D1666"/>
    <w:rsid w:val="0034272F"/>
    <w:rsid w:val="00362837"/>
    <w:rsid w:val="004802A6"/>
    <w:rsid w:val="005F342B"/>
    <w:rsid w:val="006778CB"/>
    <w:rsid w:val="006F3B50"/>
    <w:rsid w:val="00772F13"/>
    <w:rsid w:val="00897C1E"/>
    <w:rsid w:val="00994345"/>
    <w:rsid w:val="00AE111A"/>
    <w:rsid w:val="00B13AEF"/>
    <w:rsid w:val="00B305CA"/>
    <w:rsid w:val="00B66957"/>
    <w:rsid w:val="00BC31BA"/>
    <w:rsid w:val="00C02C8F"/>
    <w:rsid w:val="00C419B3"/>
    <w:rsid w:val="00C50B22"/>
    <w:rsid w:val="00C54CD3"/>
    <w:rsid w:val="00C76FA9"/>
    <w:rsid w:val="00DB3F37"/>
    <w:rsid w:val="00E272F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4A006"/>
  <w15:chartTrackingRefBased/>
  <w15:docId w15:val="{4A603C6F-6230-4D9A-A0ED-0506BB97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13A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13A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3AEF"/>
    <w:pPr>
      <w:tabs>
        <w:tab w:val="center" w:pos="4536"/>
        <w:tab w:val="right" w:pos="9072"/>
      </w:tabs>
      <w:spacing w:after="0" w:line="240" w:lineRule="auto"/>
    </w:pPr>
  </w:style>
  <w:style w:type="character" w:customStyle="1" w:styleId="En-tteCar">
    <w:name w:val="En-tête Car"/>
    <w:basedOn w:val="Policepardfaut"/>
    <w:link w:val="En-tte"/>
    <w:uiPriority w:val="99"/>
    <w:rsid w:val="00B13AEF"/>
  </w:style>
  <w:style w:type="paragraph" w:styleId="Pieddepage">
    <w:name w:val="footer"/>
    <w:basedOn w:val="Normal"/>
    <w:link w:val="PieddepageCar"/>
    <w:uiPriority w:val="99"/>
    <w:unhideWhenUsed/>
    <w:rsid w:val="00B13A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3AEF"/>
  </w:style>
  <w:style w:type="character" w:customStyle="1" w:styleId="Titre1Car">
    <w:name w:val="Titre 1 Car"/>
    <w:basedOn w:val="Policepardfaut"/>
    <w:link w:val="Titre1"/>
    <w:uiPriority w:val="9"/>
    <w:rsid w:val="00B13AEF"/>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B13AEF"/>
    <w:pPr>
      <w:outlineLvl w:val="9"/>
    </w:pPr>
    <w:rPr>
      <w:lang w:eastAsia="fr-BE"/>
    </w:rPr>
  </w:style>
  <w:style w:type="character" w:customStyle="1" w:styleId="Titre2Car">
    <w:name w:val="Titre 2 Car"/>
    <w:basedOn w:val="Policepardfaut"/>
    <w:link w:val="Titre2"/>
    <w:uiPriority w:val="9"/>
    <w:rsid w:val="00B13AEF"/>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B13AEF"/>
    <w:pPr>
      <w:ind w:left="720"/>
      <w:contextualSpacing/>
    </w:pPr>
  </w:style>
  <w:style w:type="paragraph" w:styleId="TM1">
    <w:name w:val="toc 1"/>
    <w:basedOn w:val="Normal"/>
    <w:next w:val="Normal"/>
    <w:autoRedefine/>
    <w:uiPriority w:val="39"/>
    <w:unhideWhenUsed/>
    <w:rsid w:val="00B66957"/>
    <w:pPr>
      <w:spacing w:after="100"/>
    </w:pPr>
  </w:style>
  <w:style w:type="paragraph" w:styleId="TM2">
    <w:name w:val="toc 2"/>
    <w:basedOn w:val="Normal"/>
    <w:next w:val="Normal"/>
    <w:autoRedefine/>
    <w:uiPriority w:val="39"/>
    <w:unhideWhenUsed/>
    <w:rsid w:val="00B66957"/>
    <w:pPr>
      <w:spacing w:after="100"/>
      <w:ind w:left="220"/>
    </w:pPr>
  </w:style>
  <w:style w:type="character" w:styleId="Lienhypertexte">
    <w:name w:val="Hyperlink"/>
    <w:basedOn w:val="Policepardfaut"/>
    <w:uiPriority w:val="99"/>
    <w:unhideWhenUsed/>
    <w:rsid w:val="00B669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0026">
      <w:bodyDiv w:val="1"/>
      <w:marLeft w:val="0"/>
      <w:marRight w:val="0"/>
      <w:marTop w:val="0"/>
      <w:marBottom w:val="0"/>
      <w:divBdr>
        <w:top w:val="none" w:sz="0" w:space="0" w:color="auto"/>
        <w:left w:val="none" w:sz="0" w:space="0" w:color="auto"/>
        <w:bottom w:val="none" w:sz="0" w:space="0" w:color="auto"/>
        <w:right w:val="none" w:sz="0" w:space="0" w:color="auto"/>
      </w:divBdr>
    </w:div>
    <w:div w:id="495611128">
      <w:bodyDiv w:val="1"/>
      <w:marLeft w:val="0"/>
      <w:marRight w:val="0"/>
      <w:marTop w:val="0"/>
      <w:marBottom w:val="0"/>
      <w:divBdr>
        <w:top w:val="none" w:sz="0" w:space="0" w:color="auto"/>
        <w:left w:val="none" w:sz="0" w:space="0" w:color="auto"/>
        <w:bottom w:val="none" w:sz="0" w:space="0" w:color="auto"/>
        <w:right w:val="none" w:sz="0" w:space="0" w:color="auto"/>
      </w:divBdr>
    </w:div>
    <w:div w:id="904225584">
      <w:bodyDiv w:val="1"/>
      <w:marLeft w:val="0"/>
      <w:marRight w:val="0"/>
      <w:marTop w:val="0"/>
      <w:marBottom w:val="0"/>
      <w:divBdr>
        <w:top w:val="none" w:sz="0" w:space="0" w:color="auto"/>
        <w:left w:val="none" w:sz="0" w:space="0" w:color="auto"/>
        <w:bottom w:val="none" w:sz="0" w:space="0" w:color="auto"/>
        <w:right w:val="none" w:sz="0" w:space="0" w:color="auto"/>
      </w:divBdr>
    </w:div>
    <w:div w:id="1100570360">
      <w:bodyDiv w:val="1"/>
      <w:marLeft w:val="0"/>
      <w:marRight w:val="0"/>
      <w:marTop w:val="0"/>
      <w:marBottom w:val="0"/>
      <w:divBdr>
        <w:top w:val="none" w:sz="0" w:space="0" w:color="auto"/>
        <w:left w:val="none" w:sz="0" w:space="0" w:color="auto"/>
        <w:bottom w:val="none" w:sz="0" w:space="0" w:color="auto"/>
        <w:right w:val="none" w:sz="0" w:space="0" w:color="auto"/>
      </w:divBdr>
    </w:div>
    <w:div w:id="212461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d.jacobs@lhac.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A416-BED5-4178-BF24-97DBC355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10</Pages>
  <Words>3475</Words>
  <Characters>19118</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Company</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JACOBS</dc:creator>
  <cp:keywords/>
  <dc:description/>
  <cp:lastModifiedBy>Maud JACOBS</cp:lastModifiedBy>
  <cp:revision>5</cp:revision>
  <dcterms:created xsi:type="dcterms:W3CDTF">2024-08-14T13:56:00Z</dcterms:created>
  <dcterms:modified xsi:type="dcterms:W3CDTF">2024-08-20T12:24:00Z</dcterms:modified>
</cp:coreProperties>
</file>