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4A9F" w14:textId="77777777" w:rsidR="00504770" w:rsidRDefault="00F76BAE">
      <w:pPr>
        <w:pStyle w:val="Titre1"/>
        <w:jc w:val="left"/>
      </w:pPr>
      <w:bookmarkStart w:id="0" w:name="_Toc35406367"/>
      <w:bookmarkStart w:id="1" w:name="_Toc35406501"/>
      <w:bookmarkStart w:id="2" w:name="_Toc35406456"/>
      <w:r>
        <w:rPr>
          <w:lang w:val="en-GB" w:eastAsia="en-GB"/>
        </w:rPr>
        <w:t xml:space="preserve">           </w:t>
      </w:r>
      <w:r>
        <w:rPr>
          <w:noProof/>
          <w:lang w:val="nl-BE" w:eastAsia="nl-BE"/>
        </w:rPr>
        <w:drawing>
          <wp:inline distT="0" distB="0" distL="0" distR="0" wp14:anchorId="528B4BD8" wp14:editId="528B4BD9">
            <wp:extent cx="3134360" cy="71945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4693" cy="720000"/>
                    </a:xfrm>
                    <a:prstGeom prst="rect">
                      <a:avLst/>
                    </a:prstGeom>
                  </pic:spPr>
                </pic:pic>
              </a:graphicData>
            </a:graphic>
          </wp:inline>
        </w:drawing>
      </w:r>
      <w:r>
        <w:rPr>
          <w:noProof/>
          <w:lang w:val="nl-BE" w:eastAsia="nl-BE"/>
        </w:rPr>
        <w:drawing>
          <wp:anchor distT="0" distB="0" distL="114300" distR="114300" simplePos="0" relativeHeight="251659264" behindDoc="0" locked="0" layoutInCell="1" allowOverlap="1" wp14:anchorId="528B4BDA" wp14:editId="528B4BDB">
            <wp:simplePos x="0" y="0"/>
            <wp:positionH relativeFrom="column">
              <wp:align>left</wp:align>
            </wp:positionH>
            <wp:positionV relativeFrom="paragraph">
              <wp:align>top</wp:align>
            </wp:positionV>
            <wp:extent cx="704850" cy="72009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04843" cy="720000"/>
                    </a:xfrm>
                    <a:prstGeom prst="rect">
                      <a:avLst/>
                    </a:prstGeom>
                    <a:noFill/>
                  </pic:spPr>
                </pic:pic>
              </a:graphicData>
            </a:graphic>
          </wp:anchor>
        </w:drawing>
      </w:r>
      <w:r>
        <w:br w:type="textWrapping" w:clear="all"/>
      </w:r>
    </w:p>
    <w:p w14:paraId="528B4AA0" w14:textId="77777777" w:rsidR="00504770" w:rsidRDefault="00F76BAE">
      <w:pPr>
        <w:pStyle w:val="Titre1"/>
        <w:spacing w:before="120" w:after="0"/>
      </w:pPr>
      <w:r>
        <w:t>ETM/KDW</w:t>
      </w:r>
    </w:p>
    <w:p w14:paraId="528B4AA1" w14:textId="77777777" w:rsidR="00504770" w:rsidRDefault="00F76BAE">
      <w:pPr>
        <w:pStyle w:val="Titre1"/>
        <w:spacing w:before="120" w:after="0"/>
      </w:pPr>
      <w:r>
        <w:t xml:space="preserve">Terms of reference for the final external evaluation of </w:t>
      </w:r>
      <w:bookmarkEnd w:id="0"/>
      <w:bookmarkEnd w:id="1"/>
      <w:bookmarkEnd w:id="2"/>
      <w:r>
        <w:t>the outcome:</w:t>
      </w:r>
    </w:p>
    <w:p w14:paraId="528B4AA2" w14:textId="378F862C" w:rsidR="00504770" w:rsidRDefault="00F76BAE">
      <w:pPr>
        <w:rPr>
          <w:rFonts w:cs="Calibri"/>
          <w:b/>
          <w:bCs/>
          <w:color w:val="365F91" w:themeColor="accent1" w:themeShade="BF"/>
          <w:sz w:val="24"/>
          <w:lang w:val="en-US" w:eastAsia="fr-BE"/>
        </w:rPr>
      </w:pPr>
      <w:r>
        <w:rPr>
          <w:rFonts w:cs="Calibri"/>
          <w:b/>
          <w:bCs/>
          <w:color w:val="002060"/>
          <w:sz w:val="24"/>
          <w:lang w:val="en-US" w:eastAsia="fr-BE"/>
        </w:rPr>
        <w:t>“</w:t>
      </w:r>
      <w:r>
        <w:rPr>
          <w:rFonts w:cs="Calibri"/>
          <w:b/>
          <w:bCs/>
          <w:color w:val="365F91" w:themeColor="accent1" w:themeShade="BF"/>
          <w:sz w:val="24"/>
          <w:lang w:val="en-US" w:eastAsia="fr-BE"/>
        </w:rPr>
        <w:t>A comprehensive offer for children in street situations</w:t>
      </w:r>
      <w:r>
        <w:rPr>
          <w:rFonts w:cs="Calibri"/>
          <w:b/>
          <w:bCs/>
          <w:color w:val="365F91" w:themeColor="accent1" w:themeShade="BF"/>
          <w:sz w:val="24"/>
          <w:lang w:val="en-US" w:eastAsia="fr-BE"/>
        </w:rPr>
        <w:br/>
        <w:t xml:space="preserve">and vulnerable youngsters in Bacolod </w:t>
      </w:r>
      <w:r w:rsidR="00720F1B">
        <w:rPr>
          <w:rFonts w:cs="Calibri"/>
          <w:b/>
          <w:bCs/>
          <w:color w:val="365F91" w:themeColor="accent1" w:themeShade="BF"/>
          <w:sz w:val="24"/>
          <w:lang w:val="en-US" w:eastAsia="fr-BE"/>
        </w:rPr>
        <w:t xml:space="preserve">City, </w:t>
      </w:r>
      <w:r w:rsidR="00983D77">
        <w:rPr>
          <w:rFonts w:cs="Calibri"/>
          <w:b/>
          <w:bCs/>
          <w:color w:val="365F91" w:themeColor="accent1" w:themeShade="BF"/>
          <w:sz w:val="24"/>
          <w:lang w:val="en-US" w:eastAsia="fr-BE"/>
        </w:rPr>
        <w:t>Philippines”</w:t>
      </w:r>
    </w:p>
    <w:p w14:paraId="528B4AA3" w14:textId="77777777" w:rsidR="00504770" w:rsidRDefault="00504770">
      <w:pPr>
        <w:rPr>
          <w:color w:val="365F91" w:themeColor="accent1" w:themeShade="BF"/>
          <w:sz w:val="24"/>
          <w:lang w:val="en-US"/>
        </w:rPr>
      </w:pPr>
    </w:p>
    <w:p w14:paraId="528B4AA4" w14:textId="77777777" w:rsidR="00504770" w:rsidRDefault="00504770">
      <w:pPr>
        <w:pStyle w:val="Sansinterligne"/>
        <w:rPr>
          <w:lang w:val="en-US"/>
        </w:rPr>
      </w:pPr>
    </w:p>
    <w:p w14:paraId="528B4AA5" w14:textId="77777777" w:rsidR="00504770" w:rsidRDefault="00F76BAE">
      <w:pPr>
        <w:pStyle w:val="Titre"/>
        <w:rPr>
          <w:rStyle w:val="IntenseEmphasis1"/>
          <w:b/>
          <w:i w:val="0"/>
          <w:iCs w:val="0"/>
          <w:color w:val="auto"/>
        </w:rPr>
      </w:pPr>
      <w:r>
        <w:rPr>
          <w:rStyle w:val="IntenseEmphasis1"/>
          <w:b/>
          <w:i w:val="0"/>
          <w:iCs w:val="0"/>
          <w:color w:val="auto"/>
        </w:rPr>
        <w:t>Introduction and</w:t>
      </w:r>
      <w:r>
        <w:rPr>
          <w:rStyle w:val="IntenseEmphasis1"/>
          <w:b/>
          <w:i w:val="0"/>
          <w:iCs w:val="0"/>
          <w:color w:val="auto"/>
          <w:lang w:val="en-CA"/>
        </w:rPr>
        <w:t xml:space="preserve"> Context</w:t>
      </w:r>
    </w:p>
    <w:p w14:paraId="528B4AA6" w14:textId="77777777" w:rsidR="00504770" w:rsidRDefault="00504770">
      <w:pPr>
        <w:ind w:left="360"/>
        <w:rPr>
          <w:i/>
          <w:iCs/>
          <w:sz w:val="16"/>
          <w:szCs w:val="16"/>
        </w:rPr>
      </w:pPr>
    </w:p>
    <w:p w14:paraId="528B4AA7" w14:textId="77777777" w:rsidR="00504770" w:rsidRDefault="00F76BAE">
      <w:pPr>
        <w:pStyle w:val="Corpsdetexte2"/>
        <w:numPr>
          <w:ilvl w:val="1"/>
          <w:numId w:val="1"/>
        </w:numPr>
        <w:rPr>
          <w:i w:val="0"/>
          <w:szCs w:val="20"/>
          <w:lang w:val="en-US"/>
        </w:rPr>
      </w:pPr>
      <w:r>
        <w:rPr>
          <w:i w:val="0"/>
          <w:szCs w:val="20"/>
          <w:u w:val="single"/>
          <w:lang w:val="en-US"/>
        </w:rPr>
        <w:t>Mission results stakeholders and users:</w:t>
      </w:r>
    </w:p>
    <w:p w14:paraId="528B4AA8" w14:textId="77777777" w:rsidR="00504770" w:rsidRDefault="00504770">
      <w:pPr>
        <w:pStyle w:val="Sansinterligne"/>
        <w:rPr>
          <w:lang w:val="en-US"/>
        </w:rPr>
      </w:pPr>
    </w:p>
    <w:p w14:paraId="528B4AA9" w14:textId="449E35B5" w:rsidR="00504770" w:rsidRDefault="00C6305D">
      <w:pPr>
        <w:pStyle w:val="Corpsdetexte2"/>
        <w:rPr>
          <w:i w:val="0"/>
          <w:szCs w:val="20"/>
          <w:lang w:val="en-US"/>
        </w:rPr>
      </w:pPr>
      <w:r>
        <w:rPr>
          <w:i w:val="0"/>
          <w:szCs w:val="20"/>
          <w:lang w:val="en-US"/>
        </w:rPr>
        <w:t>Empowering Tomorrow</w:t>
      </w:r>
      <w:r w:rsidR="00F76BAE">
        <w:rPr>
          <w:i w:val="0"/>
          <w:szCs w:val="20"/>
          <w:lang w:val="en-US"/>
        </w:rPr>
        <w:t xml:space="preserve">’ s generation (ETM), </w:t>
      </w:r>
      <w:r w:rsidR="00C63524">
        <w:rPr>
          <w:i w:val="0"/>
          <w:szCs w:val="20"/>
          <w:lang w:val="en-US"/>
        </w:rPr>
        <w:t xml:space="preserve">our partner: </w:t>
      </w:r>
      <w:r w:rsidR="00F76BAE">
        <w:rPr>
          <w:i w:val="0"/>
          <w:szCs w:val="20"/>
          <w:lang w:val="en-US"/>
        </w:rPr>
        <w:t>Virlanie Foundation Inc. (VFI)</w:t>
      </w:r>
      <w:r w:rsidR="00F76BAE">
        <w:rPr>
          <w:i w:val="0"/>
          <w:iCs w:val="0"/>
          <w:szCs w:val="20"/>
          <w:lang w:val="en-US"/>
        </w:rPr>
        <w:t>, DGD.D3, teams and management committee of VF</w:t>
      </w:r>
      <w:r w:rsidR="00C63524">
        <w:rPr>
          <w:i w:val="0"/>
          <w:iCs w:val="0"/>
          <w:szCs w:val="20"/>
          <w:lang w:val="en-US"/>
        </w:rPr>
        <w:t>I</w:t>
      </w:r>
      <w:r w:rsidR="00F76BAE">
        <w:rPr>
          <w:i w:val="0"/>
          <w:iCs w:val="0"/>
          <w:szCs w:val="20"/>
          <w:lang w:val="en-US"/>
        </w:rPr>
        <w:t>, direct beneficiaries of the program, Belgian and other NGO’s active in the Philippines and working with children in street situation, and the general public (via the publication on ETM’s websites).</w:t>
      </w:r>
    </w:p>
    <w:p w14:paraId="528B4AAA" w14:textId="77777777" w:rsidR="00504770" w:rsidRDefault="00504770">
      <w:pPr>
        <w:rPr>
          <w:iCs/>
          <w:sz w:val="16"/>
          <w:szCs w:val="16"/>
          <w:lang w:val="en-US"/>
        </w:rPr>
      </w:pPr>
    </w:p>
    <w:p w14:paraId="528B4AAB" w14:textId="47294346" w:rsidR="00504770" w:rsidRDefault="00F76BAE">
      <w:pPr>
        <w:rPr>
          <w:iCs/>
          <w:szCs w:val="20"/>
          <w:lang w:val="en-US"/>
        </w:rPr>
      </w:pPr>
      <w:r>
        <w:rPr>
          <w:iCs/>
          <w:szCs w:val="20"/>
          <w:u w:val="single"/>
          <w:lang w:val="en-US"/>
        </w:rPr>
        <w:t>Mission Commander</w:t>
      </w:r>
      <w:r>
        <w:rPr>
          <w:iCs/>
          <w:szCs w:val="20"/>
          <w:lang w:val="en-US"/>
        </w:rPr>
        <w:t>: Empowering ToMorrow’ s generation</w:t>
      </w:r>
    </w:p>
    <w:p w14:paraId="528B4AAC" w14:textId="77777777" w:rsidR="00504770" w:rsidRDefault="00504770">
      <w:pPr>
        <w:rPr>
          <w:iCs/>
          <w:sz w:val="16"/>
          <w:szCs w:val="16"/>
          <w:lang w:val="en-US"/>
        </w:rPr>
      </w:pPr>
    </w:p>
    <w:p w14:paraId="528B4AAD" w14:textId="77777777" w:rsidR="00504770" w:rsidRDefault="00F76BAE">
      <w:pPr>
        <w:pStyle w:val="Corpsdetexte"/>
        <w:numPr>
          <w:ilvl w:val="1"/>
          <w:numId w:val="1"/>
        </w:numPr>
        <w:rPr>
          <w:rFonts w:ascii="Verdana" w:hAnsi="Verdana"/>
          <w:i/>
        </w:rPr>
      </w:pPr>
      <w:r>
        <w:rPr>
          <w:rFonts w:ascii="Verdana" w:hAnsi="Verdana"/>
          <w:i/>
          <w:u w:val="single"/>
          <w:lang w:val="en-CA"/>
        </w:rPr>
        <w:t>Rationale</w:t>
      </w:r>
      <w:r>
        <w:rPr>
          <w:rFonts w:ascii="Verdana" w:hAnsi="Verdana"/>
          <w:i/>
          <w:u w:val="single"/>
        </w:rPr>
        <w:t xml:space="preserve"> and program </w:t>
      </w:r>
      <w:r>
        <w:rPr>
          <w:rFonts w:ascii="Verdana" w:hAnsi="Verdana"/>
          <w:i/>
          <w:u w:val="single"/>
          <w:lang w:val="en-GB"/>
        </w:rPr>
        <w:t>context</w:t>
      </w:r>
      <w:r>
        <w:rPr>
          <w:rFonts w:ascii="Verdana" w:hAnsi="Verdana"/>
          <w:i/>
        </w:rPr>
        <w:t>:</w:t>
      </w:r>
    </w:p>
    <w:p w14:paraId="528B4AAE" w14:textId="77777777" w:rsidR="00504770" w:rsidRDefault="00504770">
      <w:pPr>
        <w:pStyle w:val="Corpsdetexte"/>
        <w:ind w:left="1440"/>
        <w:rPr>
          <w:rFonts w:ascii="Verdana" w:hAnsi="Verdana"/>
          <w:i/>
        </w:rPr>
      </w:pPr>
    </w:p>
    <w:p w14:paraId="528B4AAF" w14:textId="77777777" w:rsidR="00504770" w:rsidRDefault="00F76BAE">
      <w:pPr>
        <w:pStyle w:val="Corpsdetexte"/>
        <w:rPr>
          <w:rFonts w:ascii="Verdana" w:hAnsi="Verdana"/>
          <w:iCs/>
        </w:rPr>
      </w:pPr>
      <w:r>
        <w:rPr>
          <w:rFonts w:ascii="Verdana" w:hAnsi="Verdana"/>
          <w:iCs/>
          <w:u w:val="single"/>
          <w:lang w:val="en-CA"/>
        </w:rPr>
        <w:t>General</w:t>
      </w:r>
      <w:r>
        <w:rPr>
          <w:rFonts w:ascii="Verdana" w:hAnsi="Verdana"/>
          <w:iCs/>
        </w:rPr>
        <w:t xml:space="preserve">: </w:t>
      </w:r>
    </w:p>
    <w:p w14:paraId="528B4AB0" w14:textId="77777777" w:rsidR="00504770" w:rsidRDefault="00504770">
      <w:pPr>
        <w:pStyle w:val="Corpsdetexte"/>
        <w:rPr>
          <w:rFonts w:ascii="Verdana" w:hAnsi="Verdana"/>
          <w:iCs/>
        </w:rPr>
      </w:pPr>
    </w:p>
    <w:p w14:paraId="528B4AB1" w14:textId="77777777" w:rsidR="00504770" w:rsidRDefault="00F76BAE">
      <w:pPr>
        <w:pStyle w:val="Corpsdetexte"/>
        <w:rPr>
          <w:rFonts w:ascii="Verdana" w:hAnsi="Verdana"/>
          <w:iCs/>
          <w:lang w:val="en-US"/>
        </w:rPr>
      </w:pPr>
      <w:r>
        <w:rPr>
          <w:rFonts w:ascii="Verdana" w:hAnsi="Verdana"/>
          <w:iCs/>
          <w:lang w:val="en-US"/>
        </w:rPr>
        <w:t>Geographical and demographic framework Bacolod City is a highly urbanized city, capital of the province of Negros Occidental, located in the heart of the Western Visayas region (Region VI) in the Negros Island. In 2021, the city had an estimated population of 624,783, with an annual population growth rate of 1.85%. The population is relatively young, with the 15-19 and 5-9 age groups together accounting for more than 22% of the total. This demographic structure offers significant potential for development, but also highlights the need for education, social protection and socio-economic integration for young people.</w:t>
      </w:r>
    </w:p>
    <w:p w14:paraId="528B4AB2" w14:textId="77777777" w:rsidR="00504770" w:rsidRPr="00765F1A" w:rsidRDefault="00504770">
      <w:pPr>
        <w:pStyle w:val="Corpsdetexte"/>
        <w:rPr>
          <w:rFonts w:ascii="Verdana" w:hAnsi="Verdana"/>
          <w:iCs/>
          <w:lang w:val="en-US"/>
        </w:rPr>
      </w:pPr>
    </w:p>
    <w:p w14:paraId="528B4AB3" w14:textId="77777777" w:rsidR="00504770" w:rsidRDefault="00F76BAE">
      <w:pPr>
        <w:pStyle w:val="Corpsdetexte"/>
        <w:rPr>
          <w:rFonts w:ascii="Verdana" w:hAnsi="Verdana"/>
          <w:iCs/>
          <w:lang w:val="en-US"/>
        </w:rPr>
      </w:pPr>
      <w:r>
        <w:rPr>
          <w:rFonts w:ascii="Verdana" w:hAnsi="Verdana"/>
          <w:iCs/>
          <w:lang w:val="en-US"/>
        </w:rPr>
        <w:t>Political and security situation</w:t>
      </w:r>
    </w:p>
    <w:p w14:paraId="528B4AB4" w14:textId="77777777" w:rsidR="00504770" w:rsidRDefault="00F76BAE">
      <w:pPr>
        <w:pStyle w:val="Corpsdetexte"/>
        <w:rPr>
          <w:rFonts w:ascii="Verdana" w:hAnsi="Verdana"/>
          <w:iCs/>
          <w:lang w:val="en-US"/>
        </w:rPr>
      </w:pPr>
      <w:r>
        <w:rPr>
          <w:rFonts w:ascii="Verdana" w:hAnsi="Verdana"/>
          <w:iCs/>
          <w:lang w:val="en-US"/>
        </w:rPr>
        <w:t>The Philippines continues to face security challenges related to terrorism, maritime piracy and political tensions, particularly in the run-up to national elections. The Duterte presidency (2016-2022) has prioritized universal healthcare and free access to education up to university level. However, the COVID-19 pandemic has exacerbated structural weaknesses, causing a profound health and social crisis. Potential political instability after the 2022 elections has also been a risk factor for stability in major cities, including Bacolod.</w:t>
      </w:r>
    </w:p>
    <w:p w14:paraId="528B4AB5" w14:textId="77777777" w:rsidR="00504770" w:rsidRDefault="00504770">
      <w:pPr>
        <w:pStyle w:val="Corpsdetexte"/>
        <w:rPr>
          <w:rFonts w:ascii="Verdana" w:hAnsi="Verdana"/>
          <w:iCs/>
          <w:lang w:val="en-US"/>
        </w:rPr>
      </w:pPr>
    </w:p>
    <w:p w14:paraId="528B4AB6" w14:textId="77777777" w:rsidR="00504770" w:rsidRDefault="00F76BAE">
      <w:pPr>
        <w:pStyle w:val="Corpsdetexte"/>
        <w:rPr>
          <w:rFonts w:ascii="Verdana" w:hAnsi="Verdana"/>
          <w:iCs/>
          <w:lang w:val="en-US"/>
        </w:rPr>
      </w:pPr>
      <w:r>
        <w:rPr>
          <w:rFonts w:ascii="Verdana" w:hAnsi="Verdana"/>
          <w:iCs/>
          <w:lang w:val="en-US"/>
        </w:rPr>
        <w:t>Economic situation</w:t>
      </w:r>
    </w:p>
    <w:p w14:paraId="528B4AB7" w14:textId="77777777" w:rsidR="00504770" w:rsidRDefault="00F76BAE">
      <w:pPr>
        <w:pStyle w:val="Corpsdetexte"/>
        <w:rPr>
          <w:rFonts w:ascii="Verdana" w:hAnsi="Verdana"/>
          <w:iCs/>
          <w:lang w:val="en-US"/>
        </w:rPr>
      </w:pPr>
      <w:r>
        <w:rPr>
          <w:rFonts w:ascii="Verdana" w:hAnsi="Verdana"/>
          <w:iCs/>
          <w:lang w:val="en-US"/>
        </w:rPr>
        <w:t>Before the pandemic, the Philippines was one of the most dynamic economies in East Asia, with growth supported by remittances from the diaspora, a competitive labour market and a booming construction sector. The 2020 health crisis led to a 9.5% contraction in GDP, plunging the country into recession. The government responded with a four-pillar socio-economic strategy, including a £12 billion support package for vulnerable households, workers and SMEs. The unemployment rate reached 10.4% in 2020, before falling back to 7.4% in 2021. However, social inequalities have widened, with an estimated 2.7 million more people falling into poverty.</w:t>
      </w:r>
    </w:p>
    <w:p w14:paraId="528B4AB8" w14:textId="77777777" w:rsidR="00504770" w:rsidRDefault="00504770">
      <w:pPr>
        <w:pStyle w:val="Corpsdetexte"/>
        <w:rPr>
          <w:rFonts w:ascii="Verdana" w:hAnsi="Verdana"/>
          <w:iCs/>
          <w:lang w:val="en-US"/>
        </w:rPr>
      </w:pPr>
    </w:p>
    <w:p w14:paraId="528B4AB9" w14:textId="2FF5CA8C" w:rsidR="00504770" w:rsidRDefault="00F76BAE">
      <w:pPr>
        <w:pStyle w:val="Corpsdetexte"/>
        <w:rPr>
          <w:rFonts w:ascii="Verdana" w:hAnsi="Verdana"/>
          <w:iCs/>
          <w:u w:val="single"/>
          <w:lang w:val="en-US"/>
        </w:rPr>
      </w:pPr>
      <w:r>
        <w:rPr>
          <w:rFonts w:ascii="Verdana" w:hAnsi="Verdana"/>
          <w:iCs/>
          <w:u w:val="single"/>
          <w:lang w:val="en-US"/>
        </w:rPr>
        <w:t xml:space="preserve">ODC program in Bacolod, </w:t>
      </w:r>
      <w:r w:rsidR="00BA21DE">
        <w:rPr>
          <w:rFonts w:ascii="Verdana" w:hAnsi="Verdana"/>
          <w:iCs/>
          <w:u w:val="single"/>
          <w:lang w:val="en-US"/>
        </w:rPr>
        <w:t>Negros Island</w:t>
      </w:r>
      <w:r>
        <w:rPr>
          <w:rFonts w:ascii="Verdana" w:hAnsi="Verdana"/>
          <w:iCs/>
          <w:u w:val="single"/>
          <w:lang w:val="en-US"/>
        </w:rPr>
        <w:t>:</w:t>
      </w:r>
    </w:p>
    <w:p w14:paraId="528B4ABA" w14:textId="77777777" w:rsidR="00504770" w:rsidRDefault="00504770">
      <w:pPr>
        <w:pStyle w:val="Corpsdetexte"/>
        <w:rPr>
          <w:rFonts w:ascii="Verdana" w:hAnsi="Verdana"/>
          <w:i/>
          <w:sz w:val="16"/>
          <w:szCs w:val="16"/>
          <w:lang w:val="en-US"/>
        </w:rPr>
      </w:pPr>
    </w:p>
    <w:p w14:paraId="528B4ABB" w14:textId="77777777" w:rsidR="00504770" w:rsidRDefault="00F76BAE">
      <w:pPr>
        <w:pStyle w:val="Default"/>
        <w:jc w:val="both"/>
        <w:rPr>
          <w:rFonts w:ascii="Verdana" w:eastAsia="Times New Roman" w:hAnsi="Verdana" w:cs="Times New Roman"/>
          <w:iCs/>
          <w:color w:val="auto"/>
          <w:sz w:val="20"/>
          <w:szCs w:val="20"/>
          <w:lang w:val="en-US"/>
        </w:rPr>
      </w:pPr>
      <w:r>
        <w:rPr>
          <w:rFonts w:ascii="Verdana" w:eastAsia="Times New Roman" w:hAnsi="Verdana" w:cs="Times New Roman"/>
          <w:iCs/>
          <w:color w:val="auto"/>
          <w:sz w:val="20"/>
          <w:szCs w:val="20"/>
          <w:lang w:val="en-US"/>
        </w:rPr>
        <w:t xml:space="preserve">Virlanie Foundation’s Open Day Center (ODC) Program supports Bacolod City’s most disadvantaged children and youth towards an autonomous life. It aims to provide street children, children in conflict with the law (CICL) and vulnerable young adults from 0 to 25 years old with basic necessities and skills they need to be able to fully integrate into society. </w:t>
      </w:r>
    </w:p>
    <w:p w14:paraId="528B4ABC" w14:textId="77777777" w:rsidR="00504770" w:rsidRDefault="00504770">
      <w:pPr>
        <w:pStyle w:val="Sansinterligne"/>
        <w:rPr>
          <w:lang w:val="en-US"/>
        </w:rPr>
      </w:pPr>
    </w:p>
    <w:p w14:paraId="528B4ABD" w14:textId="77777777" w:rsidR="00504770" w:rsidRDefault="00F76BAE">
      <w:pPr>
        <w:pStyle w:val="Default"/>
        <w:jc w:val="both"/>
        <w:rPr>
          <w:rFonts w:ascii="Verdana" w:eastAsia="Times New Roman" w:hAnsi="Verdana" w:cs="Times New Roman"/>
          <w:iCs/>
          <w:color w:val="auto"/>
          <w:sz w:val="20"/>
          <w:szCs w:val="20"/>
          <w:lang w:val="en-US"/>
        </w:rPr>
      </w:pPr>
      <w:r>
        <w:rPr>
          <w:rFonts w:ascii="Verdana" w:eastAsia="Times New Roman" w:hAnsi="Verdana" w:cs="Times New Roman"/>
          <w:iCs/>
          <w:color w:val="auto"/>
          <w:sz w:val="20"/>
          <w:szCs w:val="20"/>
          <w:lang w:val="en-US"/>
        </w:rPr>
        <w:t xml:space="preserve">This Program continues to be relevant in this country considering the Philippines’ political and economic condition. Without focus on reducing widespread poverty, the gap between the social classes grows. </w:t>
      </w:r>
    </w:p>
    <w:p w14:paraId="528B4ABE" w14:textId="77777777" w:rsidR="00504770" w:rsidRDefault="00504770">
      <w:pPr>
        <w:pStyle w:val="Sansinterligne"/>
        <w:rPr>
          <w:lang w:val="en-US"/>
        </w:rPr>
      </w:pPr>
    </w:p>
    <w:p w14:paraId="528B4ABF" w14:textId="77777777" w:rsidR="00504770" w:rsidRDefault="00F76BAE">
      <w:pPr>
        <w:pStyle w:val="Default"/>
        <w:jc w:val="both"/>
        <w:rPr>
          <w:rFonts w:ascii="Verdana" w:eastAsia="Times New Roman" w:hAnsi="Verdana" w:cs="Times New Roman"/>
          <w:iCs/>
          <w:color w:val="000000" w:themeColor="text1"/>
          <w:sz w:val="20"/>
          <w:szCs w:val="20"/>
          <w:lang w:val="en-US"/>
        </w:rPr>
      </w:pPr>
      <w:r>
        <w:rPr>
          <w:rFonts w:ascii="Verdana" w:eastAsia="Times New Roman" w:hAnsi="Verdana" w:cs="Times New Roman"/>
          <w:iCs/>
          <w:color w:val="000000" w:themeColor="text1"/>
          <w:sz w:val="20"/>
          <w:szCs w:val="20"/>
          <w:lang w:val="en-US"/>
        </w:rPr>
        <w:t xml:space="preserve">An analysis of children in the Philippines shows that 31.4% of the children live below poverty line. An estimated 2.85 million girls and boys aged 5 to 15 years old are out of school, and 8 in 10 children experience some form of violence, including physical, psychological, sexual, or online abuse. There are 246,000 street children believed to be roaming around the country. </w:t>
      </w:r>
    </w:p>
    <w:p w14:paraId="528B4AC0" w14:textId="77777777" w:rsidR="00504770" w:rsidRDefault="00504770">
      <w:pPr>
        <w:pStyle w:val="Sansinterligne"/>
        <w:jc w:val="both"/>
        <w:rPr>
          <w:lang w:val="en-US"/>
        </w:rPr>
      </w:pPr>
    </w:p>
    <w:p w14:paraId="528B4AC1" w14:textId="77777777" w:rsidR="00504770" w:rsidRDefault="00F76BAE">
      <w:pPr>
        <w:pStyle w:val="Default"/>
        <w:jc w:val="both"/>
        <w:rPr>
          <w:rFonts w:ascii="Verdana" w:eastAsia="Times New Roman" w:hAnsi="Verdana" w:cs="Times New Roman"/>
          <w:iCs/>
          <w:color w:val="auto"/>
          <w:sz w:val="20"/>
          <w:szCs w:val="20"/>
          <w:lang w:val="en-US"/>
        </w:rPr>
      </w:pPr>
      <w:r>
        <w:rPr>
          <w:rFonts w:ascii="Verdana" w:eastAsia="Times New Roman" w:hAnsi="Verdana" w:cs="Times New Roman"/>
          <w:iCs/>
          <w:color w:val="auto"/>
          <w:sz w:val="20"/>
          <w:szCs w:val="20"/>
          <w:lang w:val="en-US"/>
        </w:rPr>
        <w:t>Since it became fully functional in March 2018, VFI-ODC has been addressing the multidimensional issues of homelessness in the City of Bacolod. Activities and services are implemented in close collaboration with other public and private stakeholders in order to help the beneficiaries progress to better living conditions. With the use of a holistic human rights-based approach, VFI-ODC empowers the children and youth to become more responsible individuals.</w:t>
      </w:r>
    </w:p>
    <w:p w14:paraId="528B4AC8" w14:textId="465219F1" w:rsidR="00504770" w:rsidRPr="00C624F8" w:rsidRDefault="00F76BAE" w:rsidP="00C624F8">
      <w:pPr>
        <w:pStyle w:val="Default"/>
        <w:rPr>
          <w:iCs/>
          <w:color w:val="auto"/>
          <w:szCs w:val="20"/>
          <w:lang w:val="en-US"/>
        </w:rPr>
      </w:pPr>
      <w:r>
        <w:rPr>
          <w:i/>
          <w:color w:val="auto"/>
          <w:szCs w:val="20"/>
          <w:lang w:val="en-US"/>
        </w:rPr>
        <w:br/>
      </w:r>
      <w:r w:rsidRPr="00C624F8">
        <w:rPr>
          <w:iCs/>
          <w:color w:val="auto"/>
          <w:szCs w:val="20"/>
          <w:lang w:val="en-US"/>
        </w:rPr>
        <w:t xml:space="preserve">The new </w:t>
      </w:r>
      <w:r w:rsidR="00B44DAD" w:rsidRPr="00C624F8">
        <w:rPr>
          <w:iCs/>
          <w:color w:val="auto"/>
          <w:szCs w:val="20"/>
          <w:lang w:val="en-US"/>
        </w:rPr>
        <w:t>program,</w:t>
      </w:r>
      <w:r w:rsidRPr="00C624F8">
        <w:rPr>
          <w:iCs/>
          <w:color w:val="auto"/>
          <w:szCs w:val="20"/>
          <w:lang w:val="en-US"/>
        </w:rPr>
        <w:t xml:space="preserve"> 2022-2025</w:t>
      </w:r>
      <w:r w:rsidR="00B44DAD">
        <w:rPr>
          <w:iCs/>
          <w:color w:val="auto"/>
          <w:szCs w:val="20"/>
          <w:lang w:val="en-US"/>
        </w:rPr>
        <w:t xml:space="preserve"> (3 years+1) </w:t>
      </w:r>
      <w:r w:rsidRPr="00C624F8">
        <w:rPr>
          <w:iCs/>
          <w:color w:val="auto"/>
          <w:szCs w:val="20"/>
          <w:lang w:val="en-US"/>
        </w:rPr>
        <w:t xml:space="preserve"> is a logical continuation of the previous program. However, there have been significant </w:t>
      </w:r>
      <w:r w:rsidR="0008473E" w:rsidRPr="00C624F8">
        <w:rPr>
          <w:iCs/>
          <w:color w:val="auto"/>
          <w:szCs w:val="20"/>
          <w:lang w:val="en-US"/>
        </w:rPr>
        <w:t>enhancements</w:t>
      </w:r>
      <w:r w:rsidRPr="00C624F8">
        <w:rPr>
          <w:iCs/>
          <w:color w:val="auto"/>
          <w:szCs w:val="20"/>
          <w:lang w:val="en-US"/>
        </w:rPr>
        <w:t xml:space="preserve"> on the strategic approaches as well as key innovations on the interventions</w:t>
      </w:r>
      <w:r w:rsidR="00B33F4D" w:rsidRPr="00C624F8">
        <w:rPr>
          <w:iCs/>
          <w:color w:val="auto"/>
          <w:szCs w:val="20"/>
          <w:lang w:val="en-US"/>
        </w:rPr>
        <w:t xml:space="preserve"> </w:t>
      </w:r>
      <w:r w:rsidR="0008473E" w:rsidRPr="00C624F8">
        <w:rPr>
          <w:iCs/>
          <w:color w:val="auto"/>
          <w:szCs w:val="20"/>
          <w:lang w:val="en-US"/>
        </w:rPr>
        <w:t>carried out</w:t>
      </w:r>
      <w:r w:rsidRPr="00C624F8">
        <w:rPr>
          <w:iCs/>
          <w:color w:val="auto"/>
          <w:szCs w:val="20"/>
          <w:lang w:val="en-US"/>
        </w:rPr>
        <w:t xml:space="preserve"> during the past </w:t>
      </w:r>
      <w:r w:rsidR="0008473E" w:rsidRPr="00C624F8">
        <w:rPr>
          <w:iCs/>
          <w:color w:val="auto"/>
          <w:szCs w:val="20"/>
          <w:lang w:val="en-US"/>
        </w:rPr>
        <w:t>four consecutive</w:t>
      </w:r>
      <w:r w:rsidRPr="00C624F8">
        <w:rPr>
          <w:iCs/>
          <w:color w:val="auto"/>
          <w:szCs w:val="20"/>
          <w:lang w:val="en-US"/>
        </w:rPr>
        <w:t xml:space="preserve"> years of program implementation. Even though the objectives</w:t>
      </w:r>
      <w:r w:rsidR="00B33F4D" w:rsidRPr="00C624F8">
        <w:rPr>
          <w:iCs/>
          <w:color w:val="auto"/>
          <w:szCs w:val="20"/>
          <w:lang w:val="en-US"/>
        </w:rPr>
        <w:t xml:space="preserve"> </w:t>
      </w:r>
      <w:r w:rsidRPr="00C624F8">
        <w:rPr>
          <w:iCs/>
          <w:color w:val="auto"/>
          <w:szCs w:val="20"/>
          <w:lang w:val="en-US"/>
        </w:rPr>
        <w:t xml:space="preserve">and design of the programs are aligned to the global challenges identified in the analyses of the Philippine framework, the program responded to the evolving needs of the Children in Street Situations (CiSS) and the  youth at risk living in poverty within the City of Bacolod. </w:t>
      </w:r>
      <w:r w:rsidRPr="00C624F8">
        <w:rPr>
          <w:iCs/>
          <w:color w:val="auto"/>
          <w:szCs w:val="20"/>
          <w:lang w:val="en-US"/>
        </w:rPr>
        <w:br/>
      </w:r>
      <w:r w:rsidRPr="00C624F8">
        <w:rPr>
          <w:iCs/>
          <w:color w:val="auto"/>
          <w:szCs w:val="20"/>
          <w:lang w:val="en-US"/>
        </w:rPr>
        <w:br/>
        <w:t>The relevance of the program in addressing the social problem related to CiSS , and youth at risk are significantly recognized by the children, youth, families , various partner communities, local government units, and private organizations in the city of Bacolod. However, despite the fact that the Open Day Center is well acknowledged in the neighborhood where it is located and friendly relations have been established, there remains a general lack of interest and a widespread indifference of some sectors in the community that</w:t>
      </w:r>
      <w:r w:rsidR="00B33F4D" w:rsidRPr="00C624F8">
        <w:rPr>
          <w:iCs/>
          <w:color w:val="auto"/>
          <w:szCs w:val="20"/>
          <w:lang w:val="en-US"/>
        </w:rPr>
        <w:t xml:space="preserve"> </w:t>
      </w:r>
      <w:r w:rsidR="005A6B04" w:rsidRPr="00C624F8">
        <w:rPr>
          <w:iCs/>
          <w:color w:val="auto"/>
          <w:szCs w:val="20"/>
          <w:lang w:val="en-US"/>
        </w:rPr>
        <w:t>presented</w:t>
      </w:r>
      <w:r w:rsidRPr="00C624F8">
        <w:rPr>
          <w:iCs/>
          <w:color w:val="auto"/>
          <w:szCs w:val="20"/>
          <w:lang w:val="en-US"/>
        </w:rPr>
        <w:t xml:space="preserve"> salient challenges in the operating procedures of the center. These unfortunate situations are</w:t>
      </w:r>
      <w:r w:rsidR="00B33F4D" w:rsidRPr="00C624F8">
        <w:rPr>
          <w:iCs/>
          <w:color w:val="auto"/>
          <w:szCs w:val="20"/>
          <w:lang w:val="en-US"/>
        </w:rPr>
        <w:t xml:space="preserve"> </w:t>
      </w:r>
      <w:r w:rsidRPr="00C624F8">
        <w:rPr>
          <w:iCs/>
          <w:color w:val="auto"/>
          <w:szCs w:val="20"/>
          <w:lang w:val="en-US"/>
        </w:rPr>
        <w:t>what we need to address in order to provide the children in street situation and youth at risk a healthy and enabling environment for them to grow and develop their potentia</w:t>
      </w:r>
      <w:r w:rsidR="00C51D37" w:rsidRPr="00C624F8">
        <w:rPr>
          <w:iCs/>
          <w:color w:val="auto"/>
          <w:szCs w:val="20"/>
          <w:lang w:val="en-US"/>
        </w:rPr>
        <w:t>l</w:t>
      </w:r>
      <w:r w:rsidRPr="00C624F8">
        <w:rPr>
          <w:iCs/>
          <w:color w:val="auto"/>
          <w:szCs w:val="20"/>
          <w:lang w:val="en-US"/>
        </w:rPr>
        <w:t xml:space="preserve">. Further, there is a need for whole-of-society approach to attain this goal. </w:t>
      </w:r>
      <w:r w:rsidRPr="00C624F8">
        <w:rPr>
          <w:iCs/>
          <w:color w:val="auto"/>
          <w:szCs w:val="20"/>
          <w:lang w:val="en-US"/>
        </w:rPr>
        <w:br/>
      </w:r>
    </w:p>
    <w:p w14:paraId="528B4ACA" w14:textId="1AA74D25" w:rsidR="00504770" w:rsidRPr="00C624F8" w:rsidRDefault="00F76BAE" w:rsidP="00B33F4D">
      <w:pPr>
        <w:pStyle w:val="Default"/>
        <w:ind w:rightChars="-253" w:right="-506"/>
        <w:rPr>
          <w:iCs/>
          <w:color w:val="auto"/>
          <w:szCs w:val="20"/>
          <w:lang w:val="en-US"/>
        </w:rPr>
      </w:pPr>
      <w:r w:rsidRPr="00C624F8">
        <w:rPr>
          <w:iCs/>
          <w:color w:val="auto"/>
          <w:szCs w:val="20"/>
          <w:lang w:val="en-US"/>
        </w:rPr>
        <w:t>The strategic activities are both internal (in-house services) and external. The main areas of intervention cover the needs of most vulnerable children in street situation and</w:t>
      </w:r>
      <w:r w:rsidR="00177C54" w:rsidRPr="00C624F8">
        <w:rPr>
          <w:iCs/>
          <w:color w:val="auto"/>
          <w:szCs w:val="20"/>
          <w:lang w:val="en-US"/>
        </w:rPr>
        <w:t xml:space="preserve"> </w:t>
      </w:r>
      <w:r w:rsidRPr="00C624F8">
        <w:rPr>
          <w:iCs/>
          <w:color w:val="auto"/>
          <w:szCs w:val="20"/>
          <w:lang w:val="en-US"/>
        </w:rPr>
        <w:t xml:space="preserve">youth at risk. </w:t>
      </w:r>
    </w:p>
    <w:p w14:paraId="69923C86" w14:textId="77777777" w:rsidR="00BE3C8E" w:rsidRPr="00C624F8" w:rsidRDefault="00F76BAE" w:rsidP="00B33F4D">
      <w:pPr>
        <w:pStyle w:val="Default"/>
        <w:numPr>
          <w:ilvl w:val="0"/>
          <w:numId w:val="2"/>
        </w:numPr>
        <w:ind w:rightChars="-253" w:right="-506"/>
        <w:rPr>
          <w:iCs/>
          <w:color w:val="auto"/>
          <w:szCs w:val="20"/>
          <w:lang w:val="en-US"/>
        </w:rPr>
      </w:pPr>
      <w:r w:rsidRPr="00C624F8">
        <w:rPr>
          <w:iCs/>
          <w:color w:val="auto"/>
          <w:szCs w:val="20"/>
          <w:lang w:val="en-US"/>
        </w:rPr>
        <w:t xml:space="preserve">Social services including administrative and legal support, basic needs services, education </w:t>
      </w:r>
    </w:p>
    <w:p w14:paraId="65F21D0D" w14:textId="77777777" w:rsidR="00BE3C8E" w:rsidRPr="00C624F8" w:rsidRDefault="00F76BAE" w:rsidP="00B33F4D">
      <w:pPr>
        <w:pStyle w:val="Default"/>
        <w:tabs>
          <w:tab w:val="left" w:pos="720"/>
        </w:tabs>
        <w:ind w:left="720" w:rightChars="-253" w:right="-506"/>
        <w:rPr>
          <w:iCs/>
          <w:color w:val="auto"/>
          <w:szCs w:val="20"/>
          <w:lang w:val="en-US"/>
        </w:rPr>
      </w:pPr>
      <w:r w:rsidRPr="00C624F8">
        <w:rPr>
          <w:iCs/>
          <w:color w:val="auto"/>
          <w:szCs w:val="20"/>
          <w:lang w:val="en-US"/>
        </w:rPr>
        <w:t>workshops, street work by street educators, family mediation and reunification, shelter for</w:t>
      </w:r>
    </w:p>
    <w:p w14:paraId="528B4ACB" w14:textId="0974EE99" w:rsidR="00504770" w:rsidRPr="00C624F8" w:rsidRDefault="00F76BAE" w:rsidP="00B33F4D">
      <w:pPr>
        <w:pStyle w:val="Default"/>
        <w:tabs>
          <w:tab w:val="left" w:pos="720"/>
        </w:tabs>
        <w:ind w:left="720" w:rightChars="-253" w:right="-506"/>
        <w:rPr>
          <w:iCs/>
          <w:color w:val="auto"/>
          <w:szCs w:val="20"/>
          <w:lang w:val="en-US"/>
        </w:rPr>
      </w:pPr>
      <w:r w:rsidRPr="00C624F8">
        <w:rPr>
          <w:iCs/>
          <w:color w:val="auto"/>
          <w:szCs w:val="20"/>
          <w:lang w:val="en-US"/>
        </w:rPr>
        <w:t xml:space="preserve"> emergencies</w:t>
      </w:r>
    </w:p>
    <w:p w14:paraId="528B4ACC" w14:textId="77777777" w:rsidR="00504770" w:rsidRPr="00C624F8" w:rsidRDefault="00F76BAE" w:rsidP="00B33F4D">
      <w:pPr>
        <w:pStyle w:val="Default"/>
        <w:numPr>
          <w:ilvl w:val="0"/>
          <w:numId w:val="2"/>
        </w:numPr>
        <w:ind w:rightChars="-253" w:right="-506"/>
        <w:rPr>
          <w:iCs/>
          <w:color w:val="auto"/>
          <w:szCs w:val="20"/>
          <w:lang w:val="en-US"/>
        </w:rPr>
      </w:pPr>
      <w:r w:rsidRPr="00C624F8">
        <w:rPr>
          <w:iCs/>
          <w:color w:val="auto"/>
          <w:szCs w:val="20"/>
          <w:lang w:val="en-US"/>
        </w:rPr>
        <w:t>Health services including: basic medical assistance, psychological support, mental health, addiction management, sexual health, health education</w:t>
      </w:r>
    </w:p>
    <w:p w14:paraId="41F027FB" w14:textId="77777777" w:rsidR="00177C54" w:rsidRPr="00C624F8" w:rsidRDefault="00F76BAE" w:rsidP="00B33F4D">
      <w:pPr>
        <w:pStyle w:val="Default"/>
        <w:numPr>
          <w:ilvl w:val="0"/>
          <w:numId w:val="2"/>
        </w:numPr>
        <w:ind w:rightChars="-253" w:right="-506"/>
        <w:rPr>
          <w:iCs/>
          <w:color w:val="C00000"/>
          <w:szCs w:val="20"/>
          <w:lang w:val="en-US"/>
        </w:rPr>
      </w:pPr>
      <w:r w:rsidRPr="00C624F8">
        <w:rPr>
          <w:iCs/>
          <w:color w:val="auto"/>
          <w:szCs w:val="20"/>
          <w:lang w:val="en-US"/>
        </w:rPr>
        <w:t xml:space="preserve">Educational Program, including Alternative learning system (ALS), tutorial classes, </w:t>
      </w:r>
    </w:p>
    <w:p w14:paraId="528B4ACD" w14:textId="03ADE9D4" w:rsidR="00504770" w:rsidRPr="00C624F8" w:rsidRDefault="00F76BAE" w:rsidP="00B33F4D">
      <w:pPr>
        <w:pStyle w:val="Default"/>
        <w:numPr>
          <w:ilvl w:val="0"/>
          <w:numId w:val="2"/>
        </w:numPr>
        <w:ind w:rightChars="-253" w:right="-506"/>
        <w:rPr>
          <w:iCs/>
          <w:color w:val="C00000"/>
          <w:szCs w:val="20"/>
          <w:lang w:val="en-US"/>
        </w:rPr>
      </w:pPr>
      <w:r w:rsidRPr="00C624F8">
        <w:rPr>
          <w:iCs/>
          <w:color w:val="auto"/>
          <w:szCs w:val="20"/>
          <w:lang w:val="en-US"/>
        </w:rPr>
        <w:t xml:space="preserve">Basic Literacy Service (BLS), </w:t>
      </w:r>
    </w:p>
    <w:p w14:paraId="528B4ACE" w14:textId="0D1EA635" w:rsidR="00504770" w:rsidRPr="00C624F8" w:rsidRDefault="00F76BAE" w:rsidP="006E3CB0">
      <w:pPr>
        <w:pStyle w:val="Default"/>
        <w:numPr>
          <w:ilvl w:val="0"/>
          <w:numId w:val="2"/>
        </w:numPr>
        <w:ind w:rightChars="-253" w:right="-506"/>
        <w:rPr>
          <w:iCs/>
          <w:color w:val="auto"/>
          <w:szCs w:val="20"/>
          <w:lang w:val="en-US"/>
        </w:rPr>
      </w:pPr>
      <w:r w:rsidRPr="00C624F8">
        <w:rPr>
          <w:iCs/>
          <w:color w:val="auto"/>
          <w:szCs w:val="20"/>
          <w:lang w:val="en-US"/>
        </w:rPr>
        <w:t xml:space="preserve">Independent Living Program (ILP) including technical and vocational education and training (TVET),formative sessions to build character and hone leadership potentials, and micro-entrepreneurship. </w:t>
      </w:r>
    </w:p>
    <w:p w14:paraId="528B4ACF" w14:textId="77777777" w:rsidR="00504770" w:rsidRPr="00C624F8" w:rsidRDefault="00504770" w:rsidP="00B33F4D">
      <w:pPr>
        <w:pStyle w:val="Default"/>
        <w:ind w:rightChars="-253" w:right="-506"/>
        <w:rPr>
          <w:iCs/>
          <w:color w:val="auto"/>
          <w:szCs w:val="20"/>
          <w:lang w:val="en-US"/>
        </w:rPr>
      </w:pPr>
    </w:p>
    <w:p w14:paraId="528B4AD0" w14:textId="18359892" w:rsidR="00504770" w:rsidRPr="00C624F8" w:rsidRDefault="00F76BAE" w:rsidP="00DD7595">
      <w:pPr>
        <w:pStyle w:val="Default"/>
        <w:ind w:rightChars="-253" w:right="-506"/>
        <w:rPr>
          <w:iCs/>
          <w:color w:val="auto"/>
          <w:szCs w:val="20"/>
          <w:lang w:val="en-US"/>
        </w:rPr>
      </w:pPr>
      <w:r w:rsidRPr="00C624F8">
        <w:rPr>
          <w:iCs/>
          <w:color w:val="auto"/>
          <w:szCs w:val="20"/>
          <w:lang w:val="en-US"/>
        </w:rPr>
        <w:t>Gender-related issues will be more and better handled.  It is targeted by the end of 2025 to support 900 girls and women of the 1.800 direct beneficiaries. Furthermore, 700 girls and women (50% of beneficiaries), will have special support and complete their skill training while it is expected that 125 girls (50% of student target group) will substantially improve their general education</w:t>
      </w:r>
      <w:r w:rsidR="00484439" w:rsidRPr="00C624F8">
        <w:rPr>
          <w:iCs/>
          <w:color w:val="auto"/>
          <w:szCs w:val="20"/>
          <w:lang w:val="en-US"/>
        </w:rPr>
        <w:t>.</w:t>
      </w:r>
      <w:r w:rsidRPr="00C624F8">
        <w:rPr>
          <w:iCs/>
          <w:color w:val="auto"/>
          <w:szCs w:val="20"/>
          <w:lang w:val="en-US"/>
        </w:rPr>
        <w:t xml:space="preserve"> This will include training for vulnerable girls and women stuck in their slums obliged to take care of their </w:t>
      </w:r>
      <w:r w:rsidRPr="00C624F8">
        <w:rPr>
          <w:iCs/>
          <w:color w:val="auto"/>
          <w:szCs w:val="20"/>
          <w:lang w:val="en-US"/>
        </w:rPr>
        <w:lastRenderedPageBreak/>
        <w:t>children and/or siblings. There will be clear determination to reach out more and better to females and assure they as well know their basic rights and more importantly, how they can claim them. Specific action is intended for their health-related issues: training on sexuality, responsible relationships, pregnancy and</w:t>
      </w:r>
      <w:r w:rsidR="0013100A" w:rsidRPr="00C624F8">
        <w:rPr>
          <w:iCs/>
          <w:color w:val="auto"/>
          <w:szCs w:val="20"/>
          <w:lang w:val="en-US"/>
        </w:rPr>
        <w:t xml:space="preserve"> </w:t>
      </w:r>
      <w:r w:rsidRPr="00C624F8">
        <w:rPr>
          <w:iCs/>
          <w:color w:val="auto"/>
          <w:szCs w:val="20"/>
          <w:lang w:val="en-US"/>
        </w:rPr>
        <w:t>how to avoid un</w:t>
      </w:r>
      <w:r w:rsidR="00EE414E" w:rsidRPr="00C624F8">
        <w:rPr>
          <w:iCs/>
          <w:color w:val="auto"/>
          <w:szCs w:val="20"/>
          <w:lang w:val="en-US"/>
        </w:rPr>
        <w:t>planned pregnancies</w:t>
      </w:r>
      <w:r w:rsidRPr="00C624F8">
        <w:rPr>
          <w:iCs/>
          <w:color w:val="auto"/>
          <w:szCs w:val="20"/>
          <w:lang w:val="en-US"/>
        </w:rPr>
        <w:t xml:space="preserve">, also reproductive health matters in general will be addressed, </w:t>
      </w:r>
      <w:r w:rsidR="00EE414E" w:rsidRPr="00C624F8">
        <w:rPr>
          <w:iCs/>
          <w:color w:val="auto"/>
          <w:szCs w:val="20"/>
          <w:lang w:val="en-US"/>
        </w:rPr>
        <w:t xml:space="preserve">whether </w:t>
      </w:r>
      <w:r w:rsidRPr="00C624F8">
        <w:rPr>
          <w:iCs/>
          <w:color w:val="auto"/>
          <w:szCs w:val="20"/>
          <w:lang w:val="en-US"/>
        </w:rPr>
        <w:t>separate</w:t>
      </w:r>
      <w:r w:rsidR="00EE414E" w:rsidRPr="00C624F8">
        <w:rPr>
          <w:iCs/>
          <w:color w:val="auto"/>
          <w:szCs w:val="20"/>
          <w:lang w:val="en-US"/>
        </w:rPr>
        <w:t>ly</w:t>
      </w:r>
      <w:r w:rsidRPr="00C624F8">
        <w:rPr>
          <w:iCs/>
          <w:color w:val="auto"/>
          <w:szCs w:val="20"/>
          <w:lang w:val="en-US"/>
        </w:rPr>
        <w:t xml:space="preserve"> or together with boys and men</w:t>
      </w:r>
      <w:r w:rsidR="00EE414E" w:rsidRPr="00C624F8">
        <w:rPr>
          <w:iCs/>
          <w:color w:val="auto"/>
          <w:szCs w:val="20"/>
          <w:lang w:val="en-US"/>
        </w:rPr>
        <w:t>,</w:t>
      </w:r>
      <w:r w:rsidRPr="00C624F8">
        <w:rPr>
          <w:iCs/>
          <w:color w:val="auto"/>
          <w:szCs w:val="20"/>
          <w:lang w:val="en-US"/>
        </w:rPr>
        <w:t xml:space="preserve"> if appropriate. All indicators of our program are segregated by gender and new tools will facilitate their monitoring.</w:t>
      </w:r>
    </w:p>
    <w:p w14:paraId="528B4AD2" w14:textId="77777777" w:rsidR="00504770" w:rsidRPr="00C624F8" w:rsidRDefault="00504770" w:rsidP="00B33F4D">
      <w:pPr>
        <w:pStyle w:val="Sansinterligne"/>
        <w:ind w:rightChars="-253" w:right="-506"/>
        <w:rPr>
          <w:iCs/>
          <w:lang w:val="en-US"/>
        </w:rPr>
      </w:pPr>
    </w:p>
    <w:p w14:paraId="528B4AD3" w14:textId="77777777" w:rsidR="00504770" w:rsidRPr="00C624F8" w:rsidRDefault="00504770" w:rsidP="00B33F4D">
      <w:pPr>
        <w:pStyle w:val="Sansinterligne"/>
        <w:ind w:rightChars="-253" w:right="-506"/>
        <w:rPr>
          <w:iCs/>
          <w:lang w:val="en-US"/>
        </w:rPr>
      </w:pPr>
    </w:p>
    <w:p w14:paraId="528B4AD4" w14:textId="77777777" w:rsidR="00504770" w:rsidRPr="00C624F8" w:rsidRDefault="00F76BAE" w:rsidP="00B33F4D">
      <w:pPr>
        <w:numPr>
          <w:ilvl w:val="1"/>
          <w:numId w:val="1"/>
        </w:numPr>
        <w:ind w:rightChars="-253" w:right="-506"/>
        <w:rPr>
          <w:iCs/>
          <w:u w:val="single"/>
          <w:lang w:val="en-US"/>
        </w:rPr>
      </w:pPr>
      <w:r w:rsidRPr="00C624F8">
        <w:rPr>
          <w:iCs/>
          <w:u w:val="single"/>
          <w:lang w:val="en-US"/>
        </w:rPr>
        <w:t>Brief description of the program</w:t>
      </w:r>
    </w:p>
    <w:p w14:paraId="528B4AD5" w14:textId="77777777" w:rsidR="00504770" w:rsidRPr="00C624F8" w:rsidRDefault="00504770" w:rsidP="00B33F4D">
      <w:pPr>
        <w:pStyle w:val="Sansinterligne"/>
        <w:ind w:rightChars="-253" w:right="-506"/>
        <w:rPr>
          <w:iCs/>
          <w:lang w:val="en-US"/>
        </w:rPr>
      </w:pPr>
    </w:p>
    <w:p w14:paraId="528B4AD6" w14:textId="77777777" w:rsidR="00504770" w:rsidRPr="00C624F8" w:rsidRDefault="00F76BAE" w:rsidP="00B33F4D">
      <w:pPr>
        <w:numPr>
          <w:ilvl w:val="2"/>
          <w:numId w:val="1"/>
        </w:numPr>
        <w:ind w:rightChars="-253" w:right="-506"/>
        <w:rPr>
          <w:iCs/>
          <w:szCs w:val="20"/>
        </w:rPr>
      </w:pPr>
      <w:r w:rsidRPr="00C624F8">
        <w:rPr>
          <w:iCs/>
          <w:szCs w:val="20"/>
          <w:u w:val="single"/>
        </w:rPr>
        <w:t xml:space="preserve">Direct </w:t>
      </w:r>
      <w:r w:rsidRPr="00C624F8">
        <w:rPr>
          <w:iCs/>
          <w:szCs w:val="20"/>
          <w:u w:val="single"/>
          <w:lang w:val="en-GB"/>
        </w:rPr>
        <w:t>beneficiaries</w:t>
      </w:r>
      <w:r w:rsidRPr="00C624F8">
        <w:rPr>
          <w:iCs/>
          <w:szCs w:val="20"/>
        </w:rPr>
        <w:t xml:space="preserve"> : </w:t>
      </w:r>
    </w:p>
    <w:p w14:paraId="528B4AD7" w14:textId="77777777" w:rsidR="00504770" w:rsidRPr="00C624F8" w:rsidRDefault="00504770" w:rsidP="00B33F4D">
      <w:pPr>
        <w:pStyle w:val="Sansinterligne"/>
        <w:ind w:rightChars="-253" w:right="-506"/>
        <w:rPr>
          <w:iCs/>
        </w:rPr>
      </w:pPr>
    </w:p>
    <w:p w14:paraId="528B4AD8" w14:textId="77777777" w:rsidR="00504770" w:rsidRPr="00C624F8" w:rsidRDefault="00F76BAE" w:rsidP="00B33F4D">
      <w:pPr>
        <w:numPr>
          <w:ilvl w:val="0"/>
          <w:numId w:val="3"/>
        </w:numPr>
        <w:ind w:rightChars="-253" w:right="-506"/>
        <w:rPr>
          <w:iCs/>
          <w:szCs w:val="20"/>
          <w:lang w:val="en-US"/>
        </w:rPr>
      </w:pPr>
      <w:r w:rsidRPr="00C624F8">
        <w:rPr>
          <w:iCs/>
          <w:szCs w:val="20"/>
          <w:lang w:val="en-US"/>
        </w:rPr>
        <w:t>children in street situations, youth at risk aged from 0 to 25 years.</w:t>
      </w:r>
    </w:p>
    <w:p w14:paraId="528B4AD9" w14:textId="01670B62" w:rsidR="00504770" w:rsidRPr="00C624F8" w:rsidRDefault="00F76BAE" w:rsidP="00B33F4D">
      <w:pPr>
        <w:numPr>
          <w:ilvl w:val="0"/>
          <w:numId w:val="3"/>
        </w:numPr>
        <w:ind w:rightChars="-253" w:right="-506"/>
        <w:rPr>
          <w:iCs/>
          <w:szCs w:val="20"/>
          <w:lang w:val="en-US"/>
        </w:rPr>
      </w:pPr>
      <w:r w:rsidRPr="00C624F8">
        <w:rPr>
          <w:iCs/>
          <w:szCs w:val="20"/>
          <w:lang w:val="en-US"/>
        </w:rPr>
        <w:t>Those children’s families biological or surrogate families. (Note: I would say this is not direct beneficiary as we do not have program fo</w:t>
      </w:r>
      <w:r w:rsidR="001E615D" w:rsidRPr="00C624F8">
        <w:rPr>
          <w:iCs/>
          <w:szCs w:val="20"/>
          <w:lang w:val="en-US"/>
        </w:rPr>
        <w:t>r</w:t>
      </w:r>
      <w:r w:rsidRPr="00C624F8">
        <w:rPr>
          <w:iCs/>
          <w:szCs w:val="20"/>
          <w:lang w:val="en-US"/>
        </w:rPr>
        <w:t xml:space="preserve"> families. But yes, we have strategic helping interventions to families</w:t>
      </w:r>
      <w:r w:rsidR="008F154A" w:rsidRPr="00C624F8">
        <w:rPr>
          <w:iCs/>
          <w:szCs w:val="20"/>
          <w:lang w:val="en-US"/>
        </w:rPr>
        <w:t>,</w:t>
      </w:r>
      <w:r w:rsidRPr="00C624F8">
        <w:rPr>
          <w:iCs/>
          <w:szCs w:val="20"/>
          <w:lang w:val="en-US"/>
        </w:rPr>
        <w:t xml:space="preserve"> but not as direct beneficiaries)</w:t>
      </w:r>
    </w:p>
    <w:p w14:paraId="528B4ADA" w14:textId="77777777" w:rsidR="00504770" w:rsidRPr="00C624F8" w:rsidRDefault="00F76BAE" w:rsidP="00B33F4D">
      <w:pPr>
        <w:numPr>
          <w:ilvl w:val="0"/>
          <w:numId w:val="3"/>
        </w:numPr>
        <w:ind w:rightChars="-253" w:right="-506"/>
        <w:rPr>
          <w:iCs/>
          <w:strike/>
          <w:szCs w:val="20"/>
          <w:lang w:val="en-US"/>
        </w:rPr>
      </w:pPr>
      <w:r w:rsidRPr="00C624F8">
        <w:rPr>
          <w:iCs/>
          <w:szCs w:val="20"/>
          <w:lang w:val="en-US"/>
        </w:rPr>
        <w:t>Remunerated staff, volunteer and consultants from partner organizations.</w:t>
      </w:r>
      <w:r w:rsidRPr="00C624F8">
        <w:rPr>
          <w:iCs/>
          <w:strike/>
          <w:szCs w:val="20"/>
          <w:lang w:val="en-US"/>
        </w:rPr>
        <w:t xml:space="preserve"> </w:t>
      </w:r>
    </w:p>
    <w:p w14:paraId="528B4ADB" w14:textId="321F0B76" w:rsidR="00504770" w:rsidRPr="00C624F8" w:rsidRDefault="00F76BAE" w:rsidP="00B33F4D">
      <w:pPr>
        <w:numPr>
          <w:ilvl w:val="0"/>
          <w:numId w:val="3"/>
        </w:numPr>
        <w:ind w:rightChars="-253" w:right="-506"/>
        <w:rPr>
          <w:iCs/>
          <w:szCs w:val="20"/>
          <w:lang w:val="en-US"/>
        </w:rPr>
      </w:pPr>
      <w:r w:rsidRPr="00C624F8">
        <w:rPr>
          <w:iCs/>
          <w:szCs w:val="20"/>
          <w:lang w:val="en-US"/>
        </w:rPr>
        <w:t xml:space="preserve">The entire community, active in the care and protection of vulnerable children and young adults.(Note: when we say community, we would mean the private organizations and local government units that have established helping interventions or services to children in street situations and youth at risk. ODC collaborate with them for a more efficient and effective intervention). </w:t>
      </w:r>
    </w:p>
    <w:p w14:paraId="528B4ADC" w14:textId="77777777" w:rsidR="00504770" w:rsidRPr="00C624F8" w:rsidRDefault="00504770" w:rsidP="00B33F4D">
      <w:pPr>
        <w:pStyle w:val="Sansinterligne"/>
        <w:ind w:rightChars="-253" w:right="-506"/>
        <w:rPr>
          <w:iCs/>
          <w:lang w:val="en-US"/>
        </w:rPr>
      </w:pPr>
    </w:p>
    <w:p w14:paraId="528B4ADD" w14:textId="77777777" w:rsidR="00504770" w:rsidRPr="00C624F8" w:rsidRDefault="00F76BAE" w:rsidP="00B33F4D">
      <w:pPr>
        <w:ind w:rightChars="-253" w:right="-506"/>
        <w:rPr>
          <w:iCs/>
          <w:szCs w:val="20"/>
          <w:lang w:val="en-GB"/>
        </w:rPr>
      </w:pPr>
      <w:r w:rsidRPr="00C624F8">
        <w:rPr>
          <w:iCs/>
          <w:szCs w:val="20"/>
          <w:lang w:val="en-US"/>
        </w:rPr>
        <w:t>Total number of direct beneficiary children in street situations and youth at risk:</w:t>
      </w:r>
      <w:r w:rsidRPr="00C624F8">
        <w:rPr>
          <w:iCs/>
          <w:szCs w:val="20"/>
          <w:lang w:val="en-GB"/>
        </w:rPr>
        <w:t xml:space="preserve"> 1,800</w:t>
      </w:r>
    </w:p>
    <w:p w14:paraId="528B4ADE" w14:textId="77777777" w:rsidR="00504770" w:rsidRPr="00C624F8" w:rsidRDefault="00504770" w:rsidP="00B33F4D">
      <w:pPr>
        <w:ind w:rightChars="-253" w:right="-506"/>
        <w:rPr>
          <w:iCs/>
          <w:sz w:val="16"/>
          <w:szCs w:val="16"/>
          <w:lang w:val="en-GB"/>
        </w:rPr>
      </w:pPr>
    </w:p>
    <w:p w14:paraId="528B4ADF" w14:textId="77777777" w:rsidR="00504770" w:rsidRPr="00C624F8" w:rsidRDefault="00F76BAE" w:rsidP="00B33F4D">
      <w:pPr>
        <w:numPr>
          <w:ilvl w:val="2"/>
          <w:numId w:val="1"/>
        </w:numPr>
        <w:ind w:rightChars="-253" w:right="-506"/>
        <w:rPr>
          <w:iCs/>
          <w:szCs w:val="20"/>
        </w:rPr>
      </w:pPr>
      <w:r w:rsidRPr="00C624F8">
        <w:rPr>
          <w:iCs/>
          <w:szCs w:val="20"/>
          <w:u w:val="single"/>
          <w:lang w:val="en-GB"/>
        </w:rPr>
        <w:t>Specific</w:t>
      </w:r>
      <w:r w:rsidRPr="00C624F8">
        <w:rPr>
          <w:iCs/>
          <w:szCs w:val="20"/>
          <w:u w:val="single"/>
        </w:rPr>
        <w:t xml:space="preserve"> objective or </w:t>
      </w:r>
      <w:r w:rsidRPr="00C624F8">
        <w:rPr>
          <w:iCs/>
          <w:szCs w:val="20"/>
          <w:u w:val="single"/>
          <w:lang w:val="en-GB"/>
        </w:rPr>
        <w:t>outcome</w:t>
      </w:r>
      <w:r w:rsidRPr="00C624F8">
        <w:rPr>
          <w:iCs/>
          <w:szCs w:val="20"/>
        </w:rPr>
        <w:t>:</w:t>
      </w:r>
    </w:p>
    <w:p w14:paraId="528B4AE0" w14:textId="77777777" w:rsidR="00504770" w:rsidRPr="00C624F8" w:rsidRDefault="00504770" w:rsidP="00B33F4D">
      <w:pPr>
        <w:pStyle w:val="Sansinterligne"/>
        <w:ind w:rightChars="-253" w:right="-506"/>
        <w:rPr>
          <w:iCs/>
        </w:rPr>
      </w:pPr>
    </w:p>
    <w:p w14:paraId="528B4AE1" w14:textId="77777777" w:rsidR="00504770" w:rsidRPr="00C624F8" w:rsidRDefault="00F76BAE" w:rsidP="00B33F4D">
      <w:pPr>
        <w:pBdr>
          <w:top w:val="single" w:sz="4" w:space="1" w:color="auto"/>
          <w:left w:val="single" w:sz="4" w:space="4" w:color="auto"/>
          <w:bottom w:val="single" w:sz="4" w:space="1" w:color="auto"/>
          <w:right w:val="single" w:sz="4" w:space="4" w:color="auto"/>
        </w:pBdr>
        <w:ind w:rightChars="-253" w:right="-506"/>
        <w:rPr>
          <w:iCs/>
          <w:szCs w:val="20"/>
          <w:lang w:val="en-US"/>
        </w:rPr>
      </w:pPr>
      <w:r w:rsidRPr="00C624F8">
        <w:rPr>
          <w:iCs/>
          <w:szCs w:val="20"/>
          <w:lang w:val="en-US"/>
        </w:rPr>
        <w:t>To facilitate and support 1.800 children in street situations, girls and boys, access their basic rights, and to strengthen and empower vulnerable young people and children in conflict with the law, offering them a comprehensive individual and collective program in Bacolod City (Negros Occidental).</w:t>
      </w:r>
    </w:p>
    <w:p w14:paraId="528B4AE2" w14:textId="77777777" w:rsidR="00504770" w:rsidRPr="00C624F8" w:rsidRDefault="00504770" w:rsidP="00B33F4D">
      <w:pPr>
        <w:pStyle w:val="Sansinterligne"/>
        <w:ind w:rightChars="-253" w:right="-506"/>
        <w:rPr>
          <w:iCs/>
          <w:lang w:val="en-US"/>
        </w:rPr>
      </w:pPr>
    </w:p>
    <w:p w14:paraId="528B4AE3" w14:textId="77777777" w:rsidR="00504770" w:rsidRPr="00C624F8" w:rsidRDefault="00504770" w:rsidP="00B33F4D">
      <w:pPr>
        <w:ind w:rightChars="-253" w:right="-506"/>
        <w:rPr>
          <w:iCs/>
          <w:sz w:val="16"/>
          <w:szCs w:val="16"/>
          <w:lang w:val="en-US"/>
        </w:rPr>
      </w:pPr>
    </w:p>
    <w:p w14:paraId="528B4AE4" w14:textId="77777777" w:rsidR="00504770" w:rsidRPr="00C624F8" w:rsidRDefault="00F76BAE" w:rsidP="00B33F4D">
      <w:pPr>
        <w:numPr>
          <w:ilvl w:val="2"/>
          <w:numId w:val="1"/>
        </w:numPr>
        <w:ind w:rightChars="-253" w:right="-506"/>
        <w:rPr>
          <w:iCs/>
          <w:szCs w:val="20"/>
          <w:lang w:val="en-GB"/>
        </w:rPr>
      </w:pPr>
      <w:r w:rsidRPr="00C624F8">
        <w:rPr>
          <w:iCs/>
          <w:szCs w:val="20"/>
          <w:u w:val="single"/>
          <w:lang w:val="en-GB"/>
        </w:rPr>
        <w:t>Program duration</w:t>
      </w:r>
      <w:r w:rsidRPr="00C624F8">
        <w:rPr>
          <w:iCs/>
          <w:szCs w:val="20"/>
          <w:lang w:val="en-GB"/>
        </w:rPr>
        <w:t>:  4 years (January 2022 – December 2024 + extension 1 year until December 2025)</w:t>
      </w:r>
    </w:p>
    <w:p w14:paraId="528B4AE5" w14:textId="77777777" w:rsidR="00504770" w:rsidRPr="00C624F8" w:rsidRDefault="00504770" w:rsidP="00B33F4D">
      <w:pPr>
        <w:pStyle w:val="Sansinterligne"/>
        <w:ind w:rightChars="-253" w:right="-506"/>
        <w:rPr>
          <w:iCs/>
          <w:lang w:val="en-GB"/>
        </w:rPr>
      </w:pPr>
    </w:p>
    <w:p w14:paraId="528B4AE6" w14:textId="77777777" w:rsidR="00504770" w:rsidRPr="00C624F8" w:rsidRDefault="00F76BAE" w:rsidP="00B33F4D">
      <w:pPr>
        <w:numPr>
          <w:ilvl w:val="2"/>
          <w:numId w:val="1"/>
        </w:numPr>
        <w:ind w:rightChars="-253" w:right="-506"/>
        <w:rPr>
          <w:iCs/>
          <w:szCs w:val="20"/>
        </w:rPr>
      </w:pPr>
      <w:r w:rsidRPr="00C624F8">
        <w:rPr>
          <w:iCs/>
          <w:szCs w:val="20"/>
          <w:u w:val="single"/>
        </w:rPr>
        <w:t>Program budget</w:t>
      </w:r>
      <w:r w:rsidRPr="00C624F8">
        <w:rPr>
          <w:iCs/>
          <w:szCs w:val="20"/>
        </w:rPr>
        <w:t xml:space="preserve"> :  </w:t>
      </w:r>
    </w:p>
    <w:p w14:paraId="528B4AE7" w14:textId="77777777" w:rsidR="00504770" w:rsidRPr="00C624F8" w:rsidRDefault="00504770" w:rsidP="00B33F4D">
      <w:pPr>
        <w:pStyle w:val="Sansinterligne"/>
        <w:ind w:rightChars="-253" w:right="-506"/>
        <w:rPr>
          <w:iCs/>
        </w:rPr>
      </w:pPr>
    </w:p>
    <w:p w14:paraId="528B4AE8" w14:textId="77777777" w:rsidR="00504770" w:rsidRPr="00C624F8" w:rsidRDefault="00F76BAE" w:rsidP="00B33F4D">
      <w:pPr>
        <w:ind w:rightChars="-253" w:right="-506"/>
        <w:jc w:val="both"/>
        <w:rPr>
          <w:iCs/>
          <w:szCs w:val="20"/>
          <w:lang w:val="en-US"/>
        </w:rPr>
      </w:pPr>
      <w:r w:rsidRPr="00C624F8">
        <w:rPr>
          <w:iCs/>
          <w:szCs w:val="20"/>
          <w:lang w:val="en-US"/>
        </w:rPr>
        <w:t>The total program budget for the outcome of the ODC in Philippines is EUR 312.479,45€.</w:t>
      </w:r>
    </w:p>
    <w:p w14:paraId="528B4AE9" w14:textId="77777777" w:rsidR="00504770" w:rsidRPr="00C624F8" w:rsidRDefault="00F76BAE" w:rsidP="00B33F4D">
      <w:pPr>
        <w:numPr>
          <w:ilvl w:val="2"/>
          <w:numId w:val="1"/>
        </w:numPr>
        <w:ind w:rightChars="-253" w:right="-506"/>
        <w:rPr>
          <w:iCs/>
          <w:lang w:val="en-US"/>
        </w:rPr>
      </w:pPr>
      <w:r w:rsidRPr="00C624F8">
        <w:rPr>
          <w:iCs/>
          <w:szCs w:val="20"/>
          <w:u w:val="single"/>
          <w:lang w:val="en-US"/>
        </w:rPr>
        <w:t>Results and changes expected at the end of the program</w:t>
      </w:r>
    </w:p>
    <w:p w14:paraId="528B4AEA" w14:textId="77777777" w:rsidR="00504770" w:rsidRPr="00C624F8" w:rsidRDefault="00504770" w:rsidP="00B33F4D">
      <w:pPr>
        <w:pStyle w:val="Sansinterligne"/>
        <w:ind w:rightChars="-253" w:right="-506"/>
        <w:rPr>
          <w:iCs/>
          <w:lang w:val="en-US"/>
        </w:rPr>
      </w:pPr>
    </w:p>
    <w:p w14:paraId="528B4AEB" w14:textId="6FCB24C8" w:rsidR="00504770" w:rsidRPr="00C624F8" w:rsidRDefault="00F76BAE" w:rsidP="00DD7595">
      <w:pPr>
        <w:spacing w:line="276" w:lineRule="auto"/>
        <w:ind w:rightChars="-253" w:right="-506"/>
        <w:jc w:val="both"/>
        <w:rPr>
          <w:rFonts w:ascii="Verdana Bold Italic" w:hAnsi="Verdana Bold Italic" w:cs="Verdana Bold Italic"/>
          <w:iCs/>
          <w:lang w:val="en-PH"/>
        </w:rPr>
      </w:pPr>
      <w:r w:rsidRPr="00C624F8">
        <w:rPr>
          <w:rFonts w:ascii="Verdana Bold Italic" w:hAnsi="Verdana Bold Italic" w:cs="Verdana Bold Italic"/>
          <w:b/>
          <w:bCs/>
          <w:iCs/>
          <w:lang w:val="en-US"/>
        </w:rPr>
        <w:t>Result 1</w:t>
      </w:r>
      <w:r w:rsidRPr="00C624F8">
        <w:rPr>
          <w:rFonts w:ascii="Verdana Bold Italic" w:hAnsi="Verdana Bold Italic" w:cs="Verdana Bold Italic"/>
          <w:iCs/>
          <w:lang w:val="en-US"/>
        </w:rPr>
        <w:t>: </w:t>
      </w:r>
      <w:r w:rsidRPr="00C624F8">
        <w:rPr>
          <w:rFonts w:ascii="Verdana Bold Italic" w:hAnsi="Verdana Bold Italic" w:cs="Verdana Bold Italic"/>
          <w:iCs/>
          <w:lang w:val="en-PH"/>
        </w:rPr>
        <w:t>Children in street situations, CICL and vulnerable young people of Bacolod have access to primary rights via the comprehensive offered services at the ODC, in the streets and in SDC.</w:t>
      </w:r>
      <w:r w:rsidRPr="00C624F8">
        <w:rPr>
          <w:rFonts w:ascii="Verdana Bold Italic" w:hAnsi="Verdana Bold Italic" w:cs="Verdana Bold Italic"/>
          <w:iCs/>
          <w:lang w:val="en-GB"/>
        </w:rPr>
        <w:t xml:space="preserve"> </w:t>
      </w:r>
    </w:p>
    <w:p w14:paraId="7C5BBDBC" w14:textId="30E4DD4E" w:rsidR="00E40B42" w:rsidRPr="00C624F8" w:rsidRDefault="00F76BAE" w:rsidP="00DD7595">
      <w:pPr>
        <w:spacing w:line="276" w:lineRule="auto"/>
        <w:ind w:rightChars="-253" w:right="-506"/>
        <w:jc w:val="both"/>
        <w:rPr>
          <w:rFonts w:ascii="Verdana Bold Italic" w:hAnsi="Verdana Bold Italic" w:cs="Verdana Bold Italic"/>
          <w:iCs/>
          <w:lang w:val="en-US"/>
        </w:rPr>
      </w:pPr>
      <w:r w:rsidRPr="00C624F8">
        <w:rPr>
          <w:rFonts w:ascii="Verdana Bold Italic" w:hAnsi="Verdana Bold Italic" w:cs="Verdana Bold Italic"/>
          <w:b/>
          <w:bCs/>
          <w:iCs/>
          <w:lang w:val="en-US"/>
        </w:rPr>
        <w:t>Result 2</w:t>
      </w:r>
      <w:r w:rsidRPr="00C624F8">
        <w:rPr>
          <w:rFonts w:ascii="Verdana Bold Italic" w:hAnsi="Verdana Bold Italic" w:cs="Verdana Bold Italic"/>
          <w:iCs/>
          <w:lang w:val="en-US"/>
        </w:rPr>
        <w:t xml:space="preserve">: Vulnerable children and young people follow a program on education and or skills training in preparation for their socio-professional reintegration and autonomous </w:t>
      </w:r>
    </w:p>
    <w:p w14:paraId="528B4AEC" w14:textId="4310F38A" w:rsidR="00504770" w:rsidRPr="00C624F8" w:rsidRDefault="00F76BAE" w:rsidP="00B33F4D">
      <w:pPr>
        <w:spacing w:line="276" w:lineRule="auto"/>
        <w:ind w:rightChars="-253" w:right="-506"/>
        <w:jc w:val="both"/>
        <w:rPr>
          <w:rFonts w:ascii="Verdana Bold Italic" w:hAnsi="Verdana Bold Italic" w:cs="Verdana Bold Italic"/>
          <w:iCs/>
          <w:lang w:val="en-GB"/>
        </w:rPr>
      </w:pPr>
      <w:r w:rsidRPr="00C624F8">
        <w:rPr>
          <w:rFonts w:ascii="Verdana Bold Italic" w:hAnsi="Verdana Bold Italic" w:cs="Verdana Bold Italic"/>
          <w:iCs/>
          <w:lang w:val="en-US"/>
        </w:rPr>
        <w:t>living.</w:t>
      </w:r>
      <w:r w:rsidRPr="00C624F8">
        <w:rPr>
          <w:rFonts w:ascii="Verdana Bold Italic" w:hAnsi="Verdana Bold Italic" w:cs="Verdana Bold Italic"/>
          <w:iCs/>
          <w:lang w:val="en-GB"/>
        </w:rPr>
        <w:t>400 vulnerable children are referred to and follow an education or training program for their socio-professional reintegration.</w:t>
      </w:r>
    </w:p>
    <w:p w14:paraId="5226FBC2" w14:textId="77777777" w:rsidR="00D362E9" w:rsidRPr="00C624F8" w:rsidRDefault="00F76BAE" w:rsidP="00B33F4D">
      <w:pPr>
        <w:spacing w:line="276" w:lineRule="auto"/>
        <w:ind w:rightChars="-253" w:right="-506"/>
        <w:jc w:val="both"/>
        <w:rPr>
          <w:iCs/>
          <w:lang w:val="en-PH"/>
        </w:rPr>
      </w:pPr>
      <w:r w:rsidRPr="00C624F8">
        <w:rPr>
          <w:b/>
          <w:bCs/>
          <w:iCs/>
          <w:lang w:val="en-US"/>
        </w:rPr>
        <w:t>Result 3</w:t>
      </w:r>
      <w:r w:rsidRPr="00C624F8">
        <w:rPr>
          <w:iCs/>
          <w:lang w:val="en-US"/>
        </w:rPr>
        <w:t>: </w:t>
      </w:r>
      <w:r w:rsidRPr="00C624F8">
        <w:rPr>
          <w:iCs/>
          <w:lang w:val="en-GB"/>
        </w:rPr>
        <w:t>The program’s sustainability is improved with more and strengthened </w:t>
      </w:r>
      <w:r w:rsidRPr="00C624F8">
        <w:rPr>
          <w:iCs/>
          <w:lang w:val="en-PH"/>
        </w:rPr>
        <w:t xml:space="preserve">collaboration </w:t>
      </w:r>
    </w:p>
    <w:p w14:paraId="528B4AEE" w14:textId="39DD8080" w:rsidR="00504770" w:rsidRDefault="00F76BAE" w:rsidP="00B33F4D">
      <w:pPr>
        <w:spacing w:line="276" w:lineRule="auto"/>
        <w:ind w:rightChars="-253" w:right="-506"/>
        <w:jc w:val="both"/>
        <w:rPr>
          <w:lang w:val="en-GB"/>
        </w:rPr>
      </w:pPr>
      <w:r w:rsidRPr="00C624F8">
        <w:rPr>
          <w:iCs/>
          <w:lang w:val="en-PH"/>
        </w:rPr>
        <w:t>amongst public and private stakeholders and partners.</w:t>
      </w:r>
      <w:r>
        <w:rPr>
          <w:lang w:val="en-GB"/>
        </w:rPr>
        <w:t>Collaboration and complementarity between local actors working on children’s rights is strengthened.</w:t>
      </w:r>
    </w:p>
    <w:p w14:paraId="528B4AEF" w14:textId="77777777" w:rsidR="00504770" w:rsidRDefault="00F76BAE" w:rsidP="00B33F4D">
      <w:pPr>
        <w:pStyle w:val="Titre"/>
        <w:ind w:rightChars="-253" w:right="-506"/>
      </w:pPr>
      <w:r>
        <w:t>Content,</w:t>
      </w:r>
      <w:r>
        <w:rPr>
          <w:lang w:val="en-SG"/>
        </w:rPr>
        <w:t xml:space="preserve"> methodology</w:t>
      </w:r>
      <w:r>
        <w:t xml:space="preserve"> and profile </w:t>
      </w:r>
    </w:p>
    <w:p w14:paraId="528B4AF0" w14:textId="77777777" w:rsidR="00504770" w:rsidRDefault="00504770" w:rsidP="00B33F4D">
      <w:pPr>
        <w:pStyle w:val="Sansinterligne"/>
        <w:ind w:rightChars="-253" w:right="-506"/>
      </w:pPr>
    </w:p>
    <w:p w14:paraId="528B4AF1" w14:textId="77777777" w:rsidR="00504770" w:rsidRDefault="00F76BAE" w:rsidP="00B33F4D">
      <w:pPr>
        <w:pStyle w:val="Sansinterligne"/>
        <w:ind w:rightChars="-253" w:right="-506" w:firstLine="360"/>
        <w:rPr>
          <w:rFonts w:ascii="Verdana" w:hAnsi="Verdana"/>
          <w:i/>
          <w:iCs/>
          <w:sz w:val="20"/>
          <w:szCs w:val="20"/>
          <w:lang w:val="en-US"/>
        </w:rPr>
      </w:pPr>
      <w:r>
        <w:rPr>
          <w:rFonts w:ascii="Verdana" w:hAnsi="Verdana"/>
          <w:i/>
          <w:iCs/>
          <w:sz w:val="20"/>
          <w:szCs w:val="20"/>
          <w:u w:val="single"/>
          <w:lang w:val="en-US"/>
        </w:rPr>
        <w:t>2.1</w:t>
      </w:r>
      <w:r>
        <w:rPr>
          <w:rFonts w:ascii="Verdana" w:hAnsi="Verdana"/>
          <w:i/>
          <w:iCs/>
          <w:sz w:val="20"/>
          <w:szCs w:val="20"/>
          <w:u w:val="single"/>
          <w:lang w:val="en-US"/>
        </w:rPr>
        <w:tab/>
      </w:r>
      <w:r>
        <w:rPr>
          <w:rFonts w:ascii="Verdana" w:hAnsi="Verdana"/>
          <w:i/>
          <w:iCs/>
          <w:sz w:val="20"/>
          <w:szCs w:val="20"/>
          <w:lang w:val="en-US"/>
        </w:rPr>
        <w:tab/>
        <w:t xml:space="preserve">Object of the evaluation and methodology </w:t>
      </w:r>
    </w:p>
    <w:p w14:paraId="528B4AF2" w14:textId="77777777" w:rsidR="00504770" w:rsidRDefault="00504770" w:rsidP="00B33F4D">
      <w:pPr>
        <w:pStyle w:val="Sansinterligne"/>
        <w:ind w:rightChars="-253" w:right="-506"/>
        <w:rPr>
          <w:lang w:val="en-US"/>
        </w:rPr>
      </w:pPr>
    </w:p>
    <w:p w14:paraId="4F2C2D0F" w14:textId="77777777" w:rsidR="00224C36" w:rsidRPr="00224C36" w:rsidRDefault="00F76BAE" w:rsidP="00224C36">
      <w:pPr>
        <w:ind w:rightChars="-253" w:right="-506"/>
        <w:jc w:val="both"/>
        <w:rPr>
          <w:iCs/>
          <w:szCs w:val="20"/>
          <w:lang w:val="en-US"/>
        </w:rPr>
      </w:pPr>
      <w:r>
        <w:rPr>
          <w:iCs/>
          <w:szCs w:val="20"/>
          <w:u w:val="single"/>
          <w:lang w:val="en-US"/>
        </w:rPr>
        <w:t>Object of the evaluation</w:t>
      </w:r>
      <w:r>
        <w:rPr>
          <w:iCs/>
          <w:szCs w:val="20"/>
          <w:lang w:val="en-US"/>
        </w:rPr>
        <w:t xml:space="preserve">: </w:t>
      </w:r>
      <w:r w:rsidR="00224C36">
        <w:rPr>
          <w:iCs/>
          <w:szCs w:val="20"/>
          <w:lang w:val="en-US"/>
        </w:rPr>
        <w:t>T</w:t>
      </w:r>
      <w:r w:rsidR="00224C36" w:rsidRPr="00224C36">
        <w:rPr>
          <w:iCs/>
          <w:szCs w:val="20"/>
          <w:lang w:val="en-US"/>
        </w:rPr>
        <w:t>he evaluation aims to assess how effectively the program has been implemented by the partner association, to what extent it has promoted more responsible behavior, and how it has strengthened operational, organizational, and institutional capacities to ensure the partner’s long-term su</w:t>
      </w:r>
      <w:bookmarkStart w:id="3" w:name="_GoBack"/>
      <w:bookmarkEnd w:id="3"/>
      <w:r w:rsidR="00224C36" w:rsidRPr="00224C36">
        <w:rPr>
          <w:iCs/>
          <w:szCs w:val="20"/>
          <w:lang w:val="en-US"/>
        </w:rPr>
        <w:t>stainability.</w:t>
      </w:r>
    </w:p>
    <w:p w14:paraId="6CC96746" w14:textId="77777777" w:rsidR="00224C36" w:rsidRDefault="00224C36" w:rsidP="00224C36">
      <w:pPr>
        <w:pStyle w:val="Sansinterligne"/>
        <w:ind w:rightChars="-253" w:right="-506"/>
        <w:rPr>
          <w:lang w:val="en-US"/>
        </w:rPr>
      </w:pPr>
    </w:p>
    <w:p w14:paraId="528B4AF4" w14:textId="058BD109" w:rsidR="00504770" w:rsidRDefault="00F76BAE" w:rsidP="00B33F4D">
      <w:pPr>
        <w:ind w:rightChars="-253" w:right="-506"/>
        <w:jc w:val="both"/>
        <w:rPr>
          <w:iCs/>
          <w:szCs w:val="20"/>
          <w:lang w:val="en-US"/>
        </w:rPr>
      </w:pPr>
      <w:r>
        <w:rPr>
          <w:iCs/>
          <w:szCs w:val="20"/>
          <w:lang w:val="en-US"/>
        </w:rPr>
        <w:t xml:space="preserve">ETM insists on an essential approach, namely the significant participation of partners and beneficiaries in the collection of information, in data analysis, in coming to the main conclusions and possible recommendations. </w:t>
      </w:r>
    </w:p>
    <w:p w14:paraId="1E670E98" w14:textId="77777777" w:rsidR="002E33F5" w:rsidRDefault="002E33F5" w:rsidP="00B33F4D">
      <w:pPr>
        <w:ind w:rightChars="-253" w:right="-506"/>
        <w:jc w:val="both"/>
        <w:rPr>
          <w:iCs/>
          <w:szCs w:val="20"/>
          <w:lang w:val="en-US"/>
        </w:rPr>
      </w:pPr>
    </w:p>
    <w:p w14:paraId="528B4AF6" w14:textId="77777777" w:rsidR="00504770" w:rsidRDefault="00F76BAE" w:rsidP="00B33F4D">
      <w:pPr>
        <w:ind w:rightChars="-253" w:right="-506"/>
        <w:jc w:val="both"/>
        <w:rPr>
          <w:rFonts w:ascii="Verdana Italic" w:hAnsi="Verdana Italic" w:cs="Verdana Italic"/>
          <w:i/>
          <w:szCs w:val="20"/>
          <w:lang w:val="en-US"/>
        </w:rPr>
      </w:pPr>
      <w:r>
        <w:rPr>
          <w:rFonts w:ascii="Verdana Italic" w:hAnsi="Verdana Italic" w:cs="Verdana Italic"/>
          <w:i/>
          <w:szCs w:val="20"/>
          <w:lang w:val="en-US"/>
        </w:rPr>
        <w:t>The evaluation will be both formative and factual:</w:t>
      </w:r>
    </w:p>
    <w:p w14:paraId="528B4AF7" w14:textId="77777777" w:rsidR="00504770" w:rsidRDefault="00504770" w:rsidP="00B33F4D">
      <w:pPr>
        <w:ind w:rightChars="-253" w:right="-506"/>
        <w:jc w:val="both"/>
        <w:rPr>
          <w:rFonts w:ascii="Verdana Italic" w:hAnsi="Verdana Italic" w:cs="Verdana Italic"/>
          <w:i/>
          <w:szCs w:val="20"/>
          <w:lang w:val="en-US"/>
        </w:rPr>
      </w:pPr>
    </w:p>
    <w:p w14:paraId="528B4AF8" w14:textId="6F7523FA" w:rsidR="00504770" w:rsidRDefault="00F76BAE" w:rsidP="00B33F4D">
      <w:pPr>
        <w:tabs>
          <w:tab w:val="left" w:pos="720"/>
        </w:tabs>
        <w:ind w:rightChars="-253" w:right="-506"/>
        <w:jc w:val="both"/>
        <w:rPr>
          <w:rFonts w:ascii="Verdana Italic" w:hAnsi="Verdana Italic" w:cs="Verdana Italic"/>
          <w:i/>
          <w:szCs w:val="20"/>
          <w:lang w:val="en-US"/>
        </w:rPr>
      </w:pPr>
      <w:r>
        <w:rPr>
          <w:rFonts w:ascii="Verdana Italic" w:hAnsi="Verdana Italic" w:cs="Verdana Italic"/>
          <w:i/>
          <w:szCs w:val="20"/>
          <w:u w:val="single"/>
          <w:lang w:val="en-US"/>
        </w:rPr>
        <w:t>Productive</w:t>
      </w:r>
      <w:r>
        <w:rPr>
          <w:rFonts w:ascii="Verdana Italic" w:hAnsi="Verdana Italic" w:cs="Verdana Italic"/>
          <w:i/>
          <w:szCs w:val="20"/>
          <w:lang w:val="en-US"/>
        </w:rPr>
        <w:t>: The steering committee, staff, management team, representatives of direct beneficiaries</w:t>
      </w:r>
      <w:r w:rsidR="002E33F5">
        <w:rPr>
          <w:rFonts w:ascii="Verdana Italic" w:hAnsi="Verdana Italic" w:cs="Verdana Italic"/>
          <w:i/>
          <w:szCs w:val="20"/>
          <w:lang w:val="en-US"/>
        </w:rPr>
        <w:t xml:space="preserve"> </w:t>
      </w:r>
      <w:r>
        <w:rPr>
          <w:rFonts w:ascii="Verdana Italic" w:hAnsi="Verdana Italic" w:cs="Verdana Italic"/>
          <w:i/>
          <w:szCs w:val="20"/>
          <w:lang w:val="en-US"/>
        </w:rPr>
        <w:t>are involved in the preparation and organization of the evaluation mission, with the aim to</w:t>
      </w:r>
      <w:r w:rsidR="002E33F5">
        <w:rPr>
          <w:rFonts w:ascii="Verdana Italic" w:hAnsi="Verdana Italic" w:cs="Verdana Italic"/>
          <w:i/>
          <w:szCs w:val="20"/>
          <w:lang w:val="en-US"/>
        </w:rPr>
        <w:t xml:space="preserve"> </w:t>
      </w:r>
      <w:r>
        <w:rPr>
          <w:rFonts w:ascii="Verdana Italic" w:hAnsi="Verdana Italic" w:cs="Verdana Italic"/>
          <w:i/>
          <w:szCs w:val="20"/>
          <w:lang w:val="en-US"/>
        </w:rPr>
        <w:t>improve ETM’s and partner’s future interventions and strategies.</w:t>
      </w:r>
    </w:p>
    <w:p w14:paraId="528B4AF9" w14:textId="77777777" w:rsidR="00504770" w:rsidRDefault="00504770" w:rsidP="00B33F4D">
      <w:pPr>
        <w:pStyle w:val="Retraitcorpsdetexte2"/>
        <w:tabs>
          <w:tab w:val="left" w:pos="720"/>
        </w:tabs>
        <w:ind w:left="0" w:rightChars="-253" w:right="-506"/>
        <w:jc w:val="both"/>
        <w:rPr>
          <w:rFonts w:ascii="Verdana Italic" w:hAnsi="Verdana Italic" w:cs="Verdana Italic"/>
          <w:i/>
          <w:sz w:val="16"/>
          <w:szCs w:val="16"/>
          <w:lang w:val="en-US"/>
        </w:rPr>
      </w:pPr>
    </w:p>
    <w:p w14:paraId="480B98E6" w14:textId="77777777" w:rsidR="00172CAE" w:rsidRDefault="00F76BAE" w:rsidP="00B33F4D">
      <w:pPr>
        <w:pStyle w:val="Retraitcorpsdetexte2"/>
        <w:tabs>
          <w:tab w:val="left" w:pos="720"/>
        </w:tabs>
        <w:ind w:left="0" w:rightChars="-253" w:right="-506"/>
        <w:jc w:val="both"/>
        <w:rPr>
          <w:rFonts w:ascii="Verdana Italic" w:hAnsi="Verdana Italic" w:cs="Verdana Italic"/>
          <w:i/>
          <w:szCs w:val="20"/>
          <w:lang w:val="en-US"/>
        </w:rPr>
      </w:pPr>
      <w:r>
        <w:rPr>
          <w:rFonts w:ascii="Verdana Italic" w:hAnsi="Verdana Italic" w:cs="Verdana Italic"/>
          <w:i/>
          <w:szCs w:val="20"/>
          <w:u w:val="single"/>
          <w:lang w:val="en-US"/>
        </w:rPr>
        <w:t>Factual</w:t>
      </w:r>
      <w:r>
        <w:rPr>
          <w:rFonts w:ascii="Verdana Italic" w:hAnsi="Verdana Italic" w:cs="Verdana Italic"/>
          <w:i/>
          <w:szCs w:val="20"/>
          <w:lang w:val="en-US"/>
        </w:rPr>
        <w:t xml:space="preserve">: an autonomous view of an objective judgment will be required, independently, </w:t>
      </w:r>
    </w:p>
    <w:p w14:paraId="528B4AFA" w14:textId="0F3031B1" w:rsidR="00504770" w:rsidRDefault="00F76BAE" w:rsidP="00B33F4D">
      <w:pPr>
        <w:pStyle w:val="Retraitcorpsdetexte2"/>
        <w:tabs>
          <w:tab w:val="left" w:pos="720"/>
        </w:tabs>
        <w:ind w:left="0" w:rightChars="-253" w:right="-506"/>
        <w:jc w:val="both"/>
        <w:rPr>
          <w:rFonts w:ascii="Verdana Italic" w:hAnsi="Verdana Italic" w:cs="Verdana Italic"/>
          <w:i/>
          <w:szCs w:val="20"/>
          <w:lang w:val="en-US"/>
        </w:rPr>
      </w:pPr>
      <w:r>
        <w:rPr>
          <w:rFonts w:ascii="Verdana Italic" w:hAnsi="Verdana Italic" w:cs="Verdana Italic"/>
          <w:i/>
          <w:szCs w:val="20"/>
          <w:lang w:val="en-US"/>
        </w:rPr>
        <w:t xml:space="preserve">allowing all the </w:t>
      </w:r>
      <w:r w:rsidR="002E33F5">
        <w:rPr>
          <w:rFonts w:ascii="Verdana Italic" w:hAnsi="Verdana Italic" w:cs="Verdana Italic"/>
          <w:i/>
          <w:szCs w:val="20"/>
          <w:lang w:val="en-US"/>
        </w:rPr>
        <w:t>parties concerned</w:t>
      </w:r>
      <w:r>
        <w:rPr>
          <w:rFonts w:ascii="Verdana Italic" w:hAnsi="Verdana Italic" w:cs="Verdana Italic"/>
          <w:i/>
          <w:szCs w:val="20"/>
          <w:lang w:val="en-US"/>
        </w:rPr>
        <w:t xml:space="preserve"> to evaluate the effectiveness and the quality of the results achieved</w:t>
      </w:r>
      <w:r w:rsidR="002E33F5">
        <w:rPr>
          <w:rFonts w:ascii="Verdana Italic" w:hAnsi="Verdana Italic" w:cs="Verdana Italic"/>
          <w:i/>
          <w:szCs w:val="20"/>
          <w:lang w:val="en-US"/>
        </w:rPr>
        <w:t xml:space="preserve"> </w:t>
      </w:r>
      <w:r>
        <w:rPr>
          <w:rFonts w:ascii="Verdana Italic" w:hAnsi="Verdana Italic" w:cs="Verdana Italic"/>
          <w:i/>
          <w:szCs w:val="20"/>
          <w:lang w:val="en-US"/>
        </w:rPr>
        <w:t>and the use of the allocated funds; also, to adapt, if necessary, the new planned program or</w:t>
      </w:r>
      <w:r w:rsidR="002E33F5">
        <w:rPr>
          <w:rFonts w:ascii="Verdana Italic" w:hAnsi="Verdana Italic" w:cs="Verdana Italic"/>
          <w:i/>
          <w:szCs w:val="20"/>
          <w:lang w:val="en-US"/>
        </w:rPr>
        <w:t xml:space="preserve"> </w:t>
      </w:r>
      <w:r>
        <w:rPr>
          <w:rFonts w:ascii="Verdana Italic" w:hAnsi="Verdana Italic" w:cs="Verdana Italic"/>
          <w:i/>
          <w:szCs w:val="20"/>
          <w:lang w:val="en-US"/>
        </w:rPr>
        <w:t>implement new methods.</w:t>
      </w:r>
    </w:p>
    <w:p w14:paraId="528B4AFB" w14:textId="77777777" w:rsidR="00504770" w:rsidRDefault="00504770" w:rsidP="00B33F4D">
      <w:pPr>
        <w:pStyle w:val="Sansinterligne"/>
        <w:ind w:rightChars="-253" w:right="-506"/>
        <w:rPr>
          <w:lang w:val="en-US"/>
        </w:rPr>
      </w:pPr>
    </w:p>
    <w:p w14:paraId="528B4AFC" w14:textId="77777777" w:rsidR="00504770" w:rsidRDefault="00F76BAE" w:rsidP="00B33F4D">
      <w:pPr>
        <w:pStyle w:val="Paragraphedeliste"/>
        <w:numPr>
          <w:ilvl w:val="1"/>
          <w:numId w:val="4"/>
        </w:numPr>
        <w:ind w:rightChars="-253" w:right="-506"/>
        <w:jc w:val="both"/>
        <w:rPr>
          <w:szCs w:val="20"/>
          <w:lang w:val="en-GB"/>
        </w:rPr>
      </w:pPr>
      <w:r>
        <w:rPr>
          <w:szCs w:val="20"/>
          <w:lang w:val="en-GB"/>
        </w:rPr>
        <w:t>Evaluation criteria &amp; questions with a gender lens</w:t>
      </w:r>
    </w:p>
    <w:p w14:paraId="528B4AFD" w14:textId="77777777" w:rsidR="00504770" w:rsidRDefault="00504770" w:rsidP="00B33F4D">
      <w:pPr>
        <w:pStyle w:val="Sansinterligne"/>
        <w:ind w:rightChars="-253" w:right="-506"/>
        <w:rPr>
          <w:lang w:val="en-GB"/>
        </w:rPr>
      </w:pPr>
    </w:p>
    <w:p w14:paraId="147D9A41" w14:textId="638F93AF" w:rsidR="002542DE" w:rsidRDefault="00F76BAE" w:rsidP="00B33F4D">
      <w:pPr>
        <w:ind w:rightChars="-253" w:right="-506"/>
        <w:jc w:val="both"/>
        <w:rPr>
          <w:szCs w:val="20"/>
          <w:lang w:val="en-US"/>
        </w:rPr>
      </w:pPr>
      <w:r>
        <w:rPr>
          <w:szCs w:val="20"/>
          <w:lang w:val="en-US"/>
        </w:rPr>
        <w:t>The evaluation mission will take place in Bacolod City</w:t>
      </w:r>
      <w:r w:rsidR="002E33F5">
        <w:rPr>
          <w:szCs w:val="20"/>
          <w:lang w:val="en-US"/>
        </w:rPr>
        <w:t>,</w:t>
      </w:r>
      <w:r>
        <w:rPr>
          <w:szCs w:val="20"/>
          <w:lang w:val="en-US"/>
        </w:rPr>
        <w:t xml:space="preserve"> on Negros Island</w:t>
      </w:r>
      <w:r w:rsidR="002E33F5">
        <w:rPr>
          <w:szCs w:val="20"/>
          <w:lang w:val="en-US"/>
        </w:rPr>
        <w:t xml:space="preserve"> </w:t>
      </w:r>
      <w:r>
        <w:rPr>
          <w:szCs w:val="20"/>
          <w:lang w:val="en-US"/>
        </w:rPr>
        <w:t xml:space="preserve">and will </w:t>
      </w:r>
    </w:p>
    <w:p w14:paraId="528B4AFE" w14:textId="1F9492E8" w:rsidR="00504770" w:rsidRDefault="00F76BAE" w:rsidP="00B33F4D">
      <w:pPr>
        <w:ind w:rightChars="-253" w:right="-506"/>
        <w:jc w:val="both"/>
        <w:rPr>
          <w:szCs w:val="20"/>
          <w:lang w:val="en-US"/>
        </w:rPr>
      </w:pPr>
      <w:r>
        <w:rPr>
          <w:szCs w:val="20"/>
          <w:lang w:val="en-US"/>
        </w:rPr>
        <w:t xml:space="preserve">address all criteria determined by the DAC including for each </w:t>
      </w:r>
      <w:r w:rsidR="002E33F5">
        <w:rPr>
          <w:szCs w:val="20"/>
          <w:lang w:val="en-US"/>
        </w:rPr>
        <w:t>criterion</w:t>
      </w:r>
      <w:r>
        <w:rPr>
          <w:szCs w:val="20"/>
          <w:lang w:val="en-US"/>
        </w:rPr>
        <w:t xml:space="preserve">, a gender equity view. but the evaluation will focus on </w:t>
      </w:r>
      <w:r w:rsidR="007C02DF">
        <w:rPr>
          <w:szCs w:val="20"/>
          <w:lang w:val="en-US"/>
        </w:rPr>
        <w:t>2</w:t>
      </w:r>
      <w:r>
        <w:rPr>
          <w:szCs w:val="20"/>
          <w:lang w:val="en-US"/>
        </w:rPr>
        <w:t xml:space="preserve"> main criteria, sustainability and impact, considered most relevant in the</w:t>
      </w:r>
      <w:r w:rsidR="002E33F5">
        <w:rPr>
          <w:szCs w:val="20"/>
          <w:lang w:val="en-US"/>
        </w:rPr>
        <w:t xml:space="preserve"> </w:t>
      </w:r>
      <w:r>
        <w:rPr>
          <w:szCs w:val="20"/>
          <w:lang w:val="en-US"/>
        </w:rPr>
        <w:t xml:space="preserve">context and at the end of the program. </w:t>
      </w:r>
      <w:r w:rsidR="007C02DF">
        <w:rPr>
          <w:szCs w:val="20"/>
          <w:lang w:val="en-US"/>
        </w:rPr>
        <w:t xml:space="preserve">A 3 th criteria, </w:t>
      </w:r>
      <w:r w:rsidR="005146E1">
        <w:rPr>
          <w:szCs w:val="20"/>
          <w:lang w:val="en-US"/>
        </w:rPr>
        <w:t xml:space="preserve">cost effectiveness </w:t>
      </w:r>
      <w:r w:rsidR="007C02DF">
        <w:rPr>
          <w:szCs w:val="20"/>
          <w:lang w:val="en-US"/>
        </w:rPr>
        <w:t>is also important.</w:t>
      </w:r>
    </w:p>
    <w:p w14:paraId="528B4AFF" w14:textId="77777777" w:rsidR="00504770" w:rsidRDefault="00F76BAE" w:rsidP="00B33F4D">
      <w:pPr>
        <w:ind w:rightChars="-253" w:right="-506"/>
        <w:jc w:val="both"/>
        <w:rPr>
          <w:szCs w:val="20"/>
          <w:lang w:val="en-US"/>
        </w:rPr>
      </w:pPr>
      <w:r>
        <w:rPr>
          <w:szCs w:val="20"/>
          <w:lang w:val="en-US"/>
        </w:rPr>
        <w:t>Specific attention will be included in the adopted methodology by the external consultant, to the crosscutting theme "gender". Finaly, recommendations will be given in order to review the theory of change according to final results</w:t>
      </w:r>
    </w:p>
    <w:p w14:paraId="528B4B00" w14:textId="77777777" w:rsidR="00504770" w:rsidRDefault="00504770" w:rsidP="00B33F4D">
      <w:pPr>
        <w:pStyle w:val="Sansinterligne"/>
        <w:ind w:rightChars="-253" w:right="-506"/>
        <w:rPr>
          <w:lang w:val="en-US"/>
        </w:rPr>
      </w:pPr>
    </w:p>
    <w:p w14:paraId="528B4B01" w14:textId="77777777" w:rsidR="00504770" w:rsidRDefault="00F76BAE" w:rsidP="00B33F4D">
      <w:pPr>
        <w:pStyle w:val="Paragraphedeliste"/>
        <w:numPr>
          <w:ilvl w:val="0"/>
          <w:numId w:val="5"/>
        </w:numPr>
        <w:ind w:rightChars="-253" w:right="-506"/>
        <w:jc w:val="both"/>
        <w:rPr>
          <w:szCs w:val="20"/>
          <w:u w:val="single"/>
          <w:lang w:val="en-US"/>
        </w:rPr>
      </w:pPr>
      <w:r>
        <w:rPr>
          <w:szCs w:val="20"/>
          <w:u w:val="single"/>
          <w:lang w:val="en-US"/>
        </w:rPr>
        <w:t>Sustainability</w:t>
      </w:r>
    </w:p>
    <w:p w14:paraId="528B4B02" w14:textId="77777777" w:rsidR="00504770" w:rsidRDefault="00504770" w:rsidP="00B33F4D">
      <w:pPr>
        <w:pStyle w:val="Sansinterligne"/>
        <w:ind w:rightChars="-253" w:right="-506"/>
        <w:rPr>
          <w:lang w:val="en-US"/>
        </w:rPr>
      </w:pPr>
    </w:p>
    <w:p w14:paraId="528B4B03" w14:textId="77777777" w:rsidR="00504770" w:rsidRDefault="00F76BAE" w:rsidP="00B33F4D">
      <w:pPr>
        <w:ind w:rightChars="-253" w:right="-506"/>
        <w:jc w:val="both"/>
        <w:rPr>
          <w:szCs w:val="20"/>
          <w:lang w:val="en-US"/>
        </w:rPr>
      </w:pPr>
      <w:r>
        <w:rPr>
          <w:szCs w:val="20"/>
          <w:lang w:val="en-US"/>
        </w:rPr>
        <w:t>Our aim is to achieve not only short-term improvements but also sustainable results. For this reason, we investigate whether any improvements are likely to endure. We consider the criterion of sustainability to have been met if the project-executing agency to successfully continue the promoted project once the external financial or technical support has been withdrawn.</w:t>
      </w:r>
    </w:p>
    <w:p w14:paraId="528B4B04" w14:textId="77777777" w:rsidR="00504770" w:rsidRDefault="00F76BAE" w:rsidP="00B33F4D">
      <w:pPr>
        <w:pStyle w:val="Sansinterligne"/>
        <w:ind w:rightChars="-253" w:right="-506"/>
        <w:rPr>
          <w:lang w:val="en-US"/>
        </w:rPr>
      </w:pPr>
      <w:r>
        <w:rPr>
          <w:lang w:val="en-US"/>
        </w:rPr>
        <w:t xml:space="preserve"> </w:t>
      </w:r>
    </w:p>
    <w:p w14:paraId="528B4B05" w14:textId="77777777" w:rsidR="00504770" w:rsidRDefault="00F76BAE">
      <w:pPr>
        <w:jc w:val="both"/>
        <w:rPr>
          <w:iCs/>
          <w:szCs w:val="20"/>
          <w:lang w:val="en-US"/>
        </w:rPr>
      </w:pPr>
      <w:r>
        <w:rPr>
          <w:iCs/>
          <w:szCs w:val="20"/>
          <w:lang w:val="en-US"/>
        </w:rPr>
        <w:t>Are conditions in place for the action to be sustainable? Some questions:</w:t>
      </w:r>
    </w:p>
    <w:p w14:paraId="528B4B06" w14:textId="77777777" w:rsidR="00504770" w:rsidRDefault="00504770">
      <w:pPr>
        <w:jc w:val="both"/>
        <w:rPr>
          <w:iCs/>
          <w:szCs w:val="20"/>
          <w:lang w:val="en-US"/>
        </w:rPr>
      </w:pPr>
    </w:p>
    <w:p w14:paraId="528B4B07" w14:textId="77777777" w:rsidR="00504770" w:rsidRDefault="00F76BAE">
      <w:pPr>
        <w:pStyle w:val="Paragraphedeliste"/>
        <w:numPr>
          <w:ilvl w:val="0"/>
          <w:numId w:val="6"/>
        </w:numPr>
        <w:jc w:val="both"/>
        <w:rPr>
          <w:iCs/>
          <w:szCs w:val="20"/>
          <w:lang w:val="en-US"/>
        </w:rPr>
      </w:pPr>
      <w:r>
        <w:rPr>
          <w:iCs/>
          <w:szCs w:val="20"/>
          <w:lang w:val="en-US"/>
        </w:rPr>
        <w:t>To what extent are the program’s results (target groups, activities…) likely to be sustained beyond the duration of DGD funding?</w:t>
      </w:r>
    </w:p>
    <w:p w14:paraId="528B4B08" w14:textId="77777777" w:rsidR="00504770" w:rsidRDefault="00F76BAE">
      <w:pPr>
        <w:pStyle w:val="Paragraphedeliste"/>
        <w:numPr>
          <w:ilvl w:val="0"/>
          <w:numId w:val="6"/>
        </w:numPr>
        <w:jc w:val="both"/>
        <w:rPr>
          <w:iCs/>
          <w:szCs w:val="20"/>
          <w:lang w:val="en-US"/>
        </w:rPr>
      </w:pPr>
      <w:r>
        <w:rPr>
          <w:iCs/>
          <w:szCs w:val="20"/>
          <w:lang w:val="en-US"/>
        </w:rPr>
        <w:t>What institutional, community, or partner capacities have been strengthened to  ensure continuity of outcomes?</w:t>
      </w:r>
    </w:p>
    <w:p w14:paraId="528B4B09" w14:textId="77777777" w:rsidR="00504770" w:rsidRDefault="00F76BAE">
      <w:pPr>
        <w:pStyle w:val="Paragraphedeliste"/>
        <w:numPr>
          <w:ilvl w:val="0"/>
          <w:numId w:val="6"/>
        </w:numPr>
        <w:jc w:val="both"/>
        <w:rPr>
          <w:iCs/>
          <w:szCs w:val="20"/>
          <w:lang w:val="en-US"/>
        </w:rPr>
      </w:pPr>
      <w:r>
        <w:rPr>
          <w:iCs/>
          <w:szCs w:val="20"/>
          <w:lang w:val="en-US"/>
        </w:rPr>
        <w:t>To what degree have local stakeholders (NGOs, local authorities, community structures, service providers) taken ownership of project activities and results?</w:t>
      </w:r>
    </w:p>
    <w:p w14:paraId="528B4B0A" w14:textId="77777777" w:rsidR="00504770" w:rsidRDefault="00F76BAE">
      <w:pPr>
        <w:pStyle w:val="Paragraphedeliste"/>
        <w:numPr>
          <w:ilvl w:val="0"/>
          <w:numId w:val="6"/>
        </w:numPr>
        <w:jc w:val="both"/>
        <w:rPr>
          <w:iCs/>
          <w:szCs w:val="20"/>
          <w:lang w:val="en-US"/>
        </w:rPr>
      </w:pPr>
      <w:r>
        <w:rPr>
          <w:iCs/>
          <w:szCs w:val="20"/>
          <w:lang w:val="en-US"/>
        </w:rPr>
        <w:t>Analyze mechanisms (e.g., local financing, public–private partnerships, civil society engagement, community networks) which are in place or emerging to support sustainability?</w:t>
      </w:r>
    </w:p>
    <w:p w14:paraId="528B4B0B" w14:textId="77777777" w:rsidR="00504770" w:rsidRDefault="00F76BAE">
      <w:pPr>
        <w:pStyle w:val="Paragraphedeliste"/>
        <w:numPr>
          <w:ilvl w:val="0"/>
          <w:numId w:val="6"/>
        </w:numPr>
        <w:jc w:val="both"/>
        <w:rPr>
          <w:iCs/>
          <w:szCs w:val="20"/>
          <w:lang w:val="en-US"/>
        </w:rPr>
      </w:pPr>
      <w:r>
        <w:rPr>
          <w:iCs/>
          <w:szCs w:val="20"/>
          <w:lang w:val="en-US"/>
        </w:rPr>
        <w:t>What are the main risks to sustainability (institutional, financial, social, environmental, political), and how can they be mitigated?</w:t>
      </w:r>
    </w:p>
    <w:p w14:paraId="528B4B0C" w14:textId="77777777" w:rsidR="00504770" w:rsidRDefault="00F76BAE">
      <w:pPr>
        <w:pStyle w:val="Paragraphedeliste"/>
        <w:numPr>
          <w:ilvl w:val="0"/>
          <w:numId w:val="6"/>
        </w:numPr>
        <w:jc w:val="both"/>
        <w:rPr>
          <w:iCs/>
          <w:szCs w:val="20"/>
          <w:lang w:val="en-US"/>
        </w:rPr>
      </w:pPr>
      <w:r>
        <w:rPr>
          <w:iCs/>
          <w:szCs w:val="20"/>
          <w:lang w:val="en-US"/>
        </w:rPr>
        <w:t>Has the project integrated resilience strategies to address future shocks (e.g., pandemics, economic crises, natural disasters, political instability)?</w:t>
      </w:r>
    </w:p>
    <w:p w14:paraId="528B4B0D" w14:textId="77777777" w:rsidR="00504770" w:rsidRDefault="00504770">
      <w:pPr>
        <w:pStyle w:val="Paragraphedeliste"/>
        <w:jc w:val="both"/>
        <w:rPr>
          <w:iCs/>
          <w:szCs w:val="20"/>
          <w:lang w:val="en-US"/>
        </w:rPr>
      </w:pPr>
    </w:p>
    <w:p w14:paraId="528B4B0E" w14:textId="77777777" w:rsidR="00504770" w:rsidRDefault="00F76BAE">
      <w:pPr>
        <w:jc w:val="both"/>
        <w:rPr>
          <w:iCs/>
          <w:szCs w:val="20"/>
          <w:lang w:val="en-US"/>
        </w:rPr>
      </w:pPr>
      <w:r>
        <w:rPr>
          <w:iCs/>
          <w:szCs w:val="20"/>
          <w:lang w:val="en-US"/>
        </w:rPr>
        <w:t>Did the operational agents and the managers of the partner association</w:t>
      </w:r>
    </w:p>
    <w:p w14:paraId="528B4B0F" w14:textId="77777777" w:rsidR="00504770" w:rsidRDefault="00504770">
      <w:pPr>
        <w:jc w:val="both"/>
        <w:rPr>
          <w:iCs/>
          <w:szCs w:val="20"/>
          <w:lang w:val="en-US"/>
        </w:rPr>
      </w:pPr>
    </w:p>
    <w:p w14:paraId="528B4B10" w14:textId="77777777" w:rsidR="00504770" w:rsidRDefault="00F76BAE">
      <w:pPr>
        <w:pStyle w:val="Paragraphedeliste"/>
        <w:numPr>
          <w:ilvl w:val="0"/>
          <w:numId w:val="7"/>
        </w:numPr>
        <w:jc w:val="both"/>
        <w:rPr>
          <w:iCs/>
          <w:szCs w:val="20"/>
          <w:lang w:val="en-US"/>
        </w:rPr>
      </w:pPr>
      <w:r>
        <w:rPr>
          <w:iCs/>
          <w:szCs w:val="20"/>
          <w:lang w:val="en-US"/>
        </w:rPr>
        <w:t>put in place procedures to manage, control or reduce the potential risks of financial management, strategic management ...?</w:t>
      </w:r>
    </w:p>
    <w:p w14:paraId="528B4B11" w14:textId="77777777" w:rsidR="00504770" w:rsidRDefault="00F76BAE">
      <w:pPr>
        <w:pStyle w:val="Paragraphedeliste"/>
        <w:numPr>
          <w:ilvl w:val="0"/>
          <w:numId w:val="7"/>
        </w:numPr>
        <w:jc w:val="both"/>
        <w:rPr>
          <w:iCs/>
          <w:szCs w:val="20"/>
          <w:lang w:val="en-US"/>
        </w:rPr>
      </w:pPr>
      <w:r>
        <w:rPr>
          <w:iCs/>
          <w:szCs w:val="20"/>
          <w:lang w:val="en-US"/>
        </w:rPr>
        <w:t xml:space="preserve">ensure more local partnerships, rooted in the local context and community </w:t>
      </w:r>
    </w:p>
    <w:p w14:paraId="528B4B12" w14:textId="77777777" w:rsidR="00504770" w:rsidRDefault="00F76BAE">
      <w:pPr>
        <w:pStyle w:val="Paragraphedeliste"/>
        <w:numPr>
          <w:ilvl w:val="0"/>
          <w:numId w:val="7"/>
        </w:numPr>
        <w:jc w:val="both"/>
        <w:rPr>
          <w:iCs/>
          <w:szCs w:val="20"/>
          <w:lang w:val="en-US"/>
        </w:rPr>
      </w:pPr>
      <w:r>
        <w:rPr>
          <w:iCs/>
          <w:szCs w:val="20"/>
          <w:lang w:val="en-US"/>
        </w:rPr>
        <w:t>take initiatives to guarantee funding (at least partially) for activities and staff costs? (Looking for efficiency, diversification of assets, approaching don</w:t>
      </w:r>
      <w:r>
        <w:rPr>
          <w:iCs/>
          <w:szCs w:val="20"/>
          <w:shd w:val="clear" w:color="auto" w:fill="FFFFFF" w:themeFill="background1"/>
          <w:lang w:val="en-US"/>
        </w:rPr>
        <w:t>ors</w:t>
      </w:r>
      <w:r>
        <w:rPr>
          <w:iCs/>
          <w:szCs w:val="20"/>
          <w:lang w:val="en-US"/>
        </w:rPr>
        <w:t xml:space="preserve"> and authorities…)?</w:t>
      </w:r>
    </w:p>
    <w:p w14:paraId="528B4B13" w14:textId="77777777" w:rsidR="00504770" w:rsidRDefault="00504770">
      <w:pPr>
        <w:pStyle w:val="Paragraphedeliste"/>
        <w:jc w:val="both"/>
        <w:rPr>
          <w:iCs/>
          <w:szCs w:val="20"/>
          <w:lang w:val="en-US"/>
        </w:rPr>
      </w:pPr>
    </w:p>
    <w:p w14:paraId="528B4B14" w14:textId="77777777" w:rsidR="00504770" w:rsidRDefault="00504770">
      <w:pPr>
        <w:pStyle w:val="Sansinterligne"/>
        <w:rPr>
          <w:lang w:val="en-US"/>
        </w:rPr>
      </w:pPr>
    </w:p>
    <w:p w14:paraId="528B4B15"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Sustainability Gender lens:</w:t>
      </w:r>
    </w:p>
    <w:p w14:paraId="528B4B16"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17"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w:t>
      </w:r>
      <w:r>
        <w:rPr>
          <w:iCs/>
          <w:szCs w:val="20"/>
          <w:lang w:val="en-US"/>
        </w:rPr>
        <w:tab/>
        <w:t>What sociocultural and structural barriers related to gender were identified, and how effectively did the project address them?</w:t>
      </w:r>
    </w:p>
    <w:p w14:paraId="528B4B18"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19"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w:t>
      </w:r>
      <w:r>
        <w:rPr>
          <w:iCs/>
          <w:szCs w:val="20"/>
          <w:lang w:val="en-US"/>
        </w:rPr>
        <w:tab/>
        <w:t>Has the program contributed to reducing gender-based inequalities in access to education, health, protection, livelihoods, or decision-making in long term, how and why ?</w:t>
      </w:r>
    </w:p>
    <w:p w14:paraId="528B4B1A"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1B"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w:t>
      </w:r>
      <w:r>
        <w:rPr>
          <w:iCs/>
          <w:szCs w:val="20"/>
          <w:lang w:val="en-US"/>
        </w:rPr>
        <w:tab/>
        <w:t>What observable changes (individual, household, community, institutional levels) have occurred in gender roles, norms, and relations as a result of the programme?</w:t>
      </w:r>
    </w:p>
    <w:p w14:paraId="528B4B1C"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1D"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w:t>
      </w:r>
      <w:r>
        <w:rPr>
          <w:iCs/>
          <w:szCs w:val="20"/>
          <w:lang w:val="en-US"/>
        </w:rPr>
        <w:tab/>
        <w:t>How was gender equality considered and integrated in the program’s design, implementation, and monitoring?</w:t>
      </w:r>
    </w:p>
    <w:p w14:paraId="528B4B1E"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1F" w14:textId="084ED96F"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w:t>
      </w:r>
      <w:r>
        <w:rPr>
          <w:iCs/>
          <w:szCs w:val="20"/>
          <w:lang w:val="en-US"/>
        </w:rPr>
        <w:tab/>
        <w:t>To what extent were men and boys engaged in activities promoting gender equality and addressing gender-based violence</w:t>
      </w:r>
      <w:r w:rsidR="00A26623">
        <w:rPr>
          <w:iCs/>
          <w:szCs w:val="20"/>
          <w:lang w:val="en-US"/>
        </w:rPr>
        <w:t>,</w:t>
      </w:r>
      <w:r>
        <w:rPr>
          <w:iCs/>
          <w:szCs w:val="20"/>
          <w:lang w:val="en-US"/>
        </w:rPr>
        <w:t xml:space="preserve"> and how ?</w:t>
      </w:r>
    </w:p>
    <w:p w14:paraId="528B4B20" w14:textId="77777777" w:rsidR="00504770" w:rsidRDefault="00504770">
      <w:pPr>
        <w:pBdr>
          <w:top w:val="single" w:sz="4" w:space="1" w:color="auto"/>
          <w:left w:val="single" w:sz="4" w:space="4" w:color="auto"/>
          <w:bottom w:val="single" w:sz="4" w:space="1" w:color="auto"/>
          <w:right w:val="single" w:sz="4" w:space="4" w:color="auto"/>
        </w:pBdr>
        <w:jc w:val="both"/>
        <w:rPr>
          <w:iCs/>
          <w:szCs w:val="20"/>
          <w:lang w:val="en-US"/>
        </w:rPr>
      </w:pPr>
    </w:p>
    <w:p w14:paraId="528B4B21" w14:textId="77777777" w:rsidR="00504770" w:rsidRDefault="00F76BAE">
      <w:pPr>
        <w:pBdr>
          <w:top w:val="single" w:sz="4" w:space="1" w:color="auto"/>
          <w:left w:val="single" w:sz="4" w:space="4" w:color="auto"/>
          <w:bottom w:val="single" w:sz="4" w:space="1" w:color="auto"/>
          <w:right w:val="single" w:sz="4" w:space="4" w:color="auto"/>
        </w:pBdr>
        <w:jc w:val="both"/>
        <w:rPr>
          <w:iCs/>
          <w:szCs w:val="20"/>
          <w:lang w:val="en-US"/>
        </w:rPr>
      </w:pPr>
      <w:r>
        <w:rPr>
          <w:iCs/>
          <w:szCs w:val="20"/>
          <w:lang w:val="en-US"/>
        </w:rPr>
        <w:tab/>
      </w:r>
    </w:p>
    <w:p w14:paraId="528B4B22" w14:textId="77777777" w:rsidR="00504770" w:rsidRDefault="00504770">
      <w:pPr>
        <w:jc w:val="both"/>
        <w:rPr>
          <w:iCs/>
          <w:szCs w:val="20"/>
          <w:lang w:val="en-US"/>
        </w:rPr>
      </w:pPr>
    </w:p>
    <w:p w14:paraId="528B4B24" w14:textId="77777777" w:rsidR="00504770" w:rsidRDefault="00F76BAE">
      <w:pPr>
        <w:pStyle w:val="Paragraphedeliste"/>
        <w:numPr>
          <w:ilvl w:val="0"/>
          <w:numId w:val="5"/>
        </w:numPr>
        <w:jc w:val="both"/>
        <w:rPr>
          <w:iCs/>
          <w:szCs w:val="20"/>
          <w:u w:val="single"/>
          <w:lang w:val="en-US"/>
        </w:rPr>
      </w:pPr>
      <w:r>
        <w:rPr>
          <w:iCs/>
          <w:szCs w:val="20"/>
          <w:u w:val="single"/>
          <w:lang w:val="en-US"/>
        </w:rPr>
        <w:t xml:space="preserve">Impact: </w:t>
      </w:r>
    </w:p>
    <w:p w14:paraId="528B4B25" w14:textId="77777777" w:rsidR="00504770" w:rsidRDefault="00504770">
      <w:pPr>
        <w:pStyle w:val="Paragraphedeliste"/>
        <w:jc w:val="both"/>
        <w:rPr>
          <w:iCs/>
          <w:szCs w:val="20"/>
          <w:u w:val="single"/>
          <w:lang w:val="en-US"/>
        </w:rPr>
      </w:pPr>
    </w:p>
    <w:p w14:paraId="528B4B26" w14:textId="77777777" w:rsidR="00504770" w:rsidRDefault="00F76BAE">
      <w:pPr>
        <w:jc w:val="both"/>
        <w:rPr>
          <w:iCs/>
          <w:szCs w:val="20"/>
          <w:u w:val="single"/>
          <w:lang w:val="en-US"/>
        </w:rPr>
      </w:pPr>
      <w:r>
        <w:rPr>
          <w:iCs/>
          <w:szCs w:val="20"/>
          <w:lang w:val="en-US"/>
        </w:rPr>
        <w:t xml:space="preserve">Impact addresses the ultimate significance and potentially transformative effects of the intervention. It seeks to identify social, environmental and economic effects of the intervention that are longer term or broader in scope than those already captured under the effectiveness criteria. Beyond the immediate results, this criterion seeks to capture the indirect, secondary and potential consequences of the intervention. </w:t>
      </w:r>
    </w:p>
    <w:p w14:paraId="528B4B27" w14:textId="77777777" w:rsidR="00504770" w:rsidRDefault="00F76BAE">
      <w:pPr>
        <w:jc w:val="both"/>
        <w:rPr>
          <w:iCs/>
          <w:szCs w:val="20"/>
          <w:lang w:val="en-US"/>
        </w:rPr>
      </w:pPr>
      <w:r>
        <w:rPr>
          <w:iCs/>
          <w:szCs w:val="20"/>
          <w:lang w:val="en-US"/>
        </w:rPr>
        <w:t>It does so by examining holistic and enduring changes in systems or norms, and potential effects on people’s well-being, human rights, gender equality, and the environment.</w:t>
      </w:r>
    </w:p>
    <w:p w14:paraId="528B4B28" w14:textId="77777777" w:rsidR="00504770" w:rsidRDefault="00504770">
      <w:pPr>
        <w:pStyle w:val="Sansinterligne"/>
        <w:rPr>
          <w:lang w:val="en-US"/>
        </w:rPr>
      </w:pPr>
    </w:p>
    <w:p w14:paraId="528B4B29" w14:textId="77777777" w:rsidR="00504770" w:rsidRDefault="00F76BAE">
      <w:pPr>
        <w:pStyle w:val="Paragraphedeliste"/>
        <w:numPr>
          <w:ilvl w:val="0"/>
          <w:numId w:val="8"/>
        </w:numPr>
        <w:jc w:val="both"/>
        <w:rPr>
          <w:iCs/>
          <w:szCs w:val="20"/>
          <w:u w:val="single"/>
          <w:lang w:val="en-US"/>
        </w:rPr>
      </w:pPr>
      <w:r>
        <w:rPr>
          <w:iCs/>
          <w:szCs w:val="20"/>
          <w:lang w:val="en-US"/>
        </w:rPr>
        <w:t>What difference does the intervention make considering with before?</w:t>
      </w:r>
    </w:p>
    <w:p w14:paraId="528B4B2A" w14:textId="77777777" w:rsidR="00504770" w:rsidRDefault="00F76BAE">
      <w:pPr>
        <w:pStyle w:val="Paragraphedeliste"/>
        <w:numPr>
          <w:ilvl w:val="0"/>
          <w:numId w:val="9"/>
        </w:numPr>
        <w:jc w:val="both"/>
        <w:rPr>
          <w:iCs/>
          <w:szCs w:val="20"/>
          <w:lang w:val="en-US"/>
        </w:rPr>
      </w:pPr>
      <w:r>
        <w:rPr>
          <w:iCs/>
          <w:szCs w:val="20"/>
          <w:lang w:val="en-US"/>
        </w:rPr>
        <w:t>To which extend the intervention has generated or is expected to generate</w:t>
      </w:r>
    </w:p>
    <w:p w14:paraId="528B4B2B" w14:textId="77777777" w:rsidR="00504770" w:rsidRDefault="00F76BAE">
      <w:pPr>
        <w:pStyle w:val="Paragraphedeliste"/>
        <w:jc w:val="both"/>
        <w:rPr>
          <w:iCs/>
          <w:szCs w:val="20"/>
          <w:lang w:val="en-US"/>
        </w:rPr>
      </w:pPr>
      <w:r>
        <w:rPr>
          <w:iCs/>
          <w:szCs w:val="20"/>
          <w:lang w:val="en-US"/>
        </w:rPr>
        <w:t>significant positive or negative, intended or unintended, higher-level effects.</w:t>
      </w:r>
    </w:p>
    <w:p w14:paraId="528B4B2C" w14:textId="77777777" w:rsidR="00504770" w:rsidRDefault="00F76BAE">
      <w:pPr>
        <w:pStyle w:val="Paragraphedeliste"/>
        <w:numPr>
          <w:ilvl w:val="0"/>
          <w:numId w:val="8"/>
        </w:numPr>
        <w:jc w:val="both"/>
        <w:rPr>
          <w:iCs/>
          <w:szCs w:val="20"/>
          <w:lang w:val="en-US"/>
        </w:rPr>
      </w:pPr>
      <w:r>
        <w:rPr>
          <w:iCs/>
          <w:szCs w:val="20"/>
          <w:lang w:val="en-US"/>
        </w:rPr>
        <w:t xml:space="preserve">What happens to the youth in the community 6 months after their training or after the completion of their education </w:t>
      </w:r>
    </w:p>
    <w:p w14:paraId="528B4B2D" w14:textId="77777777" w:rsidR="00504770" w:rsidRDefault="00504770">
      <w:pPr>
        <w:pStyle w:val="Paragraphedeliste"/>
        <w:jc w:val="both"/>
        <w:rPr>
          <w:iCs/>
          <w:szCs w:val="20"/>
          <w:lang w:val="en-US"/>
        </w:rPr>
      </w:pPr>
    </w:p>
    <w:p w14:paraId="528B4B2E" w14:textId="77777777" w:rsidR="00504770" w:rsidRDefault="00F76BAE">
      <w:pPr>
        <w:pStyle w:val="Paragraphedeliste"/>
        <w:pBdr>
          <w:top w:val="single" w:sz="4" w:space="1" w:color="auto"/>
          <w:left w:val="single" w:sz="4" w:space="31" w:color="auto"/>
          <w:bottom w:val="single" w:sz="4" w:space="1" w:color="auto"/>
          <w:right w:val="single" w:sz="4" w:space="4" w:color="auto"/>
        </w:pBdr>
        <w:jc w:val="both"/>
        <w:rPr>
          <w:iCs/>
          <w:szCs w:val="20"/>
          <w:lang w:val="en-US"/>
        </w:rPr>
      </w:pPr>
      <w:r>
        <w:rPr>
          <w:iCs/>
          <w:szCs w:val="20"/>
          <w:lang w:val="en-US"/>
        </w:rPr>
        <w:t xml:space="preserve">Impact Gender lens: </w:t>
      </w:r>
    </w:p>
    <w:p w14:paraId="528B4B2F" w14:textId="77777777" w:rsidR="00504770" w:rsidRDefault="00504770">
      <w:pPr>
        <w:pStyle w:val="Paragraphedeliste"/>
        <w:pBdr>
          <w:top w:val="single" w:sz="4" w:space="1" w:color="auto"/>
          <w:left w:val="single" w:sz="4" w:space="31" w:color="auto"/>
          <w:bottom w:val="single" w:sz="4" w:space="1" w:color="auto"/>
          <w:right w:val="single" w:sz="4" w:space="4" w:color="auto"/>
        </w:pBdr>
        <w:jc w:val="both"/>
        <w:rPr>
          <w:iCs/>
          <w:szCs w:val="20"/>
          <w:lang w:val="en-US"/>
        </w:rPr>
      </w:pPr>
    </w:p>
    <w:p w14:paraId="528B4B30" w14:textId="77777777" w:rsidR="00504770" w:rsidRDefault="00F76BAE">
      <w:pPr>
        <w:pStyle w:val="Paragraphedeliste"/>
        <w:pBdr>
          <w:top w:val="single" w:sz="4" w:space="1" w:color="auto"/>
          <w:left w:val="single" w:sz="4" w:space="31" w:color="auto"/>
          <w:bottom w:val="single" w:sz="4" w:space="1" w:color="auto"/>
          <w:right w:val="single" w:sz="4" w:space="4" w:color="auto"/>
        </w:pBdr>
        <w:jc w:val="both"/>
        <w:rPr>
          <w:iCs/>
          <w:szCs w:val="20"/>
          <w:lang w:val="en-US"/>
        </w:rPr>
      </w:pPr>
      <w:r>
        <w:rPr>
          <w:iCs/>
          <w:szCs w:val="20"/>
          <w:lang w:val="en-US"/>
        </w:rPr>
        <w:t>•</w:t>
      </w:r>
      <w:r>
        <w:rPr>
          <w:iCs/>
          <w:szCs w:val="20"/>
          <w:lang w:val="en-US"/>
        </w:rPr>
        <w:tab/>
        <w:t>Were there equal impacts for different genders or were there any gender-related differences in engagement, experience and impacts? If so, why did these differential impacts occur?</w:t>
      </w:r>
    </w:p>
    <w:p w14:paraId="528B4B31" w14:textId="77777777" w:rsidR="00504770" w:rsidRDefault="00504770">
      <w:pPr>
        <w:pStyle w:val="Paragraphedeliste"/>
        <w:pBdr>
          <w:top w:val="single" w:sz="4" w:space="1" w:color="auto"/>
          <w:left w:val="single" w:sz="4" w:space="31" w:color="auto"/>
          <w:bottom w:val="single" w:sz="4" w:space="1" w:color="auto"/>
          <w:right w:val="single" w:sz="4" w:space="4" w:color="auto"/>
        </w:pBdr>
        <w:jc w:val="both"/>
        <w:rPr>
          <w:iCs/>
          <w:szCs w:val="20"/>
          <w:lang w:val="en-US"/>
        </w:rPr>
      </w:pPr>
    </w:p>
    <w:p w14:paraId="528B4B32" w14:textId="77777777" w:rsidR="00504770" w:rsidRDefault="00F76BAE">
      <w:pPr>
        <w:pStyle w:val="Paragraphedeliste"/>
        <w:pBdr>
          <w:top w:val="single" w:sz="4" w:space="1" w:color="auto"/>
          <w:left w:val="single" w:sz="4" w:space="31" w:color="auto"/>
          <w:bottom w:val="single" w:sz="4" w:space="1" w:color="auto"/>
          <w:right w:val="single" w:sz="4" w:space="4" w:color="auto"/>
        </w:pBdr>
        <w:jc w:val="both"/>
        <w:rPr>
          <w:iCs/>
          <w:szCs w:val="20"/>
          <w:lang w:val="en-US"/>
        </w:rPr>
      </w:pPr>
      <w:r>
        <w:rPr>
          <w:iCs/>
          <w:szCs w:val="20"/>
          <w:lang w:val="en-US"/>
        </w:rPr>
        <w:t>•</w:t>
      </w:r>
      <w:r>
        <w:rPr>
          <w:iCs/>
          <w:szCs w:val="20"/>
          <w:lang w:val="en-US"/>
        </w:rPr>
        <w:tab/>
        <w:t>To what extent did gender-related impacts intersect with other social barriers including race/ethnicity, disability, age and sexual orientation contribute to differential experiences and outcomes and how?</w:t>
      </w:r>
    </w:p>
    <w:p w14:paraId="528B4B33" w14:textId="77777777" w:rsidR="00504770" w:rsidRDefault="00504770">
      <w:pPr>
        <w:pStyle w:val="Paragraphedeliste"/>
        <w:pBdr>
          <w:top w:val="single" w:sz="4" w:space="1" w:color="auto"/>
          <w:left w:val="single" w:sz="4" w:space="31" w:color="auto"/>
          <w:bottom w:val="single" w:sz="4" w:space="1" w:color="auto"/>
          <w:right w:val="single" w:sz="4" w:space="4" w:color="auto"/>
        </w:pBdr>
        <w:jc w:val="both"/>
        <w:rPr>
          <w:iCs/>
          <w:szCs w:val="20"/>
          <w:lang w:val="en-US"/>
        </w:rPr>
      </w:pPr>
    </w:p>
    <w:p w14:paraId="528B4B34" w14:textId="13D332AE" w:rsidR="00504770" w:rsidRDefault="00F76BAE">
      <w:pPr>
        <w:pStyle w:val="Paragraphedeliste"/>
        <w:pBdr>
          <w:top w:val="single" w:sz="4" w:space="1" w:color="auto"/>
          <w:left w:val="single" w:sz="4" w:space="31" w:color="auto"/>
          <w:bottom w:val="single" w:sz="4" w:space="1" w:color="auto"/>
          <w:right w:val="single" w:sz="4" w:space="4" w:color="auto"/>
        </w:pBdr>
        <w:jc w:val="both"/>
        <w:rPr>
          <w:iCs/>
          <w:szCs w:val="20"/>
          <w:lang w:val="en-US"/>
        </w:rPr>
      </w:pPr>
      <w:r>
        <w:rPr>
          <w:iCs/>
          <w:szCs w:val="20"/>
          <w:lang w:val="en-US"/>
        </w:rPr>
        <w:t>•</w:t>
      </w:r>
      <w:r>
        <w:rPr>
          <w:iCs/>
          <w:szCs w:val="20"/>
          <w:lang w:val="en-US"/>
        </w:rPr>
        <w:tab/>
        <w:t>To what extent and how have impacts contributed to equal power relations between people of different genders and to changing social norms and systems (political, economic, religious, legislative, and socio-cultural)?</w:t>
      </w:r>
    </w:p>
    <w:p w14:paraId="528B4B35" w14:textId="77777777" w:rsidR="00504770" w:rsidRDefault="00504770">
      <w:pPr>
        <w:pStyle w:val="Sansinterligne"/>
        <w:rPr>
          <w:lang w:val="en-US"/>
        </w:rPr>
      </w:pPr>
    </w:p>
    <w:p w14:paraId="6720C79C" w14:textId="390C489C" w:rsidR="00F9586B" w:rsidRDefault="005146E1" w:rsidP="00F9586B">
      <w:pPr>
        <w:pStyle w:val="Paragraphedeliste"/>
        <w:numPr>
          <w:ilvl w:val="0"/>
          <w:numId w:val="5"/>
        </w:numPr>
        <w:jc w:val="both"/>
        <w:rPr>
          <w:iCs/>
          <w:szCs w:val="20"/>
          <w:u w:val="single"/>
          <w:lang w:val="en-US"/>
        </w:rPr>
      </w:pPr>
      <w:r>
        <w:rPr>
          <w:iCs/>
          <w:szCs w:val="20"/>
          <w:u w:val="single"/>
          <w:lang w:val="en-US"/>
        </w:rPr>
        <w:t>Cost effectiveness</w:t>
      </w:r>
      <w:r w:rsidR="00F9586B" w:rsidRPr="00C624F8">
        <w:rPr>
          <w:iCs/>
          <w:szCs w:val="20"/>
          <w:u w:val="single"/>
          <w:lang w:val="en-US"/>
        </w:rPr>
        <w:t xml:space="preserve"> </w:t>
      </w:r>
    </w:p>
    <w:p w14:paraId="7B659799" w14:textId="77777777" w:rsidR="007565A5" w:rsidRDefault="007565A5" w:rsidP="007565A5">
      <w:pPr>
        <w:jc w:val="both"/>
        <w:rPr>
          <w:iCs/>
          <w:szCs w:val="20"/>
          <w:u w:val="single"/>
          <w:lang w:val="en-US"/>
        </w:rPr>
      </w:pPr>
    </w:p>
    <w:p w14:paraId="16102F24" w14:textId="388B9E36" w:rsidR="008B1237" w:rsidRDefault="007565A5" w:rsidP="008B1237">
      <w:pPr>
        <w:jc w:val="both"/>
        <w:rPr>
          <w:iCs/>
          <w:szCs w:val="20"/>
          <w:lang w:val="en-US"/>
        </w:rPr>
      </w:pPr>
      <w:r w:rsidRPr="007565A5">
        <w:rPr>
          <w:iCs/>
          <w:szCs w:val="20"/>
          <w:lang w:val="en-US"/>
        </w:rPr>
        <w:t xml:space="preserve">Cost-effectiveness assesses the extent to which the </w:t>
      </w:r>
      <w:r w:rsidR="00EF6158" w:rsidRPr="007565A5">
        <w:rPr>
          <w:iCs/>
          <w:szCs w:val="20"/>
          <w:lang w:val="en-US"/>
        </w:rPr>
        <w:t>program’s</w:t>
      </w:r>
      <w:r w:rsidRPr="007565A5">
        <w:rPr>
          <w:iCs/>
          <w:szCs w:val="20"/>
          <w:lang w:val="en-US"/>
        </w:rPr>
        <w:t xml:space="preserve"> resources (financial, human, and material) have been used efficiently to achieve the intended results. In the final phase of the 2022–2026 DGD </w:t>
      </w:r>
      <w:r w:rsidR="00EF6158" w:rsidRPr="007565A5">
        <w:rPr>
          <w:iCs/>
          <w:szCs w:val="20"/>
          <w:lang w:val="en-US"/>
        </w:rPr>
        <w:t>program</w:t>
      </w:r>
      <w:r w:rsidRPr="007565A5">
        <w:rPr>
          <w:iCs/>
          <w:szCs w:val="20"/>
          <w:lang w:val="en-US"/>
        </w:rPr>
        <w:t>, this criterion is particularly relevant</w:t>
      </w:r>
      <w:r w:rsidR="00B44DAD">
        <w:rPr>
          <w:iCs/>
          <w:szCs w:val="20"/>
          <w:lang w:val="en-US"/>
        </w:rPr>
        <w:t>,</w:t>
      </w:r>
      <w:r w:rsidRPr="007565A5">
        <w:rPr>
          <w:iCs/>
          <w:szCs w:val="20"/>
          <w:lang w:val="en-US"/>
        </w:rPr>
        <w:t xml:space="preserve"> </w:t>
      </w:r>
      <w:r w:rsidR="00C3617D">
        <w:rPr>
          <w:iCs/>
          <w:szCs w:val="20"/>
          <w:lang w:val="en-US"/>
        </w:rPr>
        <w:t>at this stage</w:t>
      </w:r>
      <w:r w:rsidR="00B44DAD">
        <w:rPr>
          <w:iCs/>
          <w:szCs w:val="20"/>
          <w:lang w:val="en-US"/>
        </w:rPr>
        <w:t>,</w:t>
      </w:r>
      <w:r w:rsidR="00C3617D">
        <w:rPr>
          <w:iCs/>
          <w:szCs w:val="20"/>
          <w:lang w:val="en-US"/>
        </w:rPr>
        <w:t xml:space="preserve"> in order to know if we can plan a regressive budget for the coming years and how.  We would like to </w:t>
      </w:r>
      <w:r w:rsidR="00B44DAD">
        <w:rPr>
          <w:iCs/>
          <w:szCs w:val="20"/>
          <w:lang w:val="en-US"/>
        </w:rPr>
        <w:t xml:space="preserve">to know </w:t>
      </w:r>
      <w:r w:rsidR="00C3617D">
        <w:rPr>
          <w:iCs/>
          <w:szCs w:val="20"/>
          <w:lang w:val="en-US"/>
        </w:rPr>
        <w:t>whe</w:t>
      </w:r>
      <w:r w:rsidRPr="007565A5">
        <w:rPr>
          <w:iCs/>
          <w:szCs w:val="20"/>
          <w:lang w:val="en-US"/>
        </w:rPr>
        <w:t>ther alternative approaches could have delivered similar or better results with fewer resources.</w:t>
      </w:r>
    </w:p>
    <w:p w14:paraId="1FE3DEEF" w14:textId="77777777" w:rsidR="008B1237" w:rsidRDefault="008B1237" w:rsidP="008B1237">
      <w:pPr>
        <w:jc w:val="both"/>
        <w:rPr>
          <w:iCs/>
          <w:szCs w:val="20"/>
          <w:lang w:val="en-US"/>
        </w:rPr>
      </w:pPr>
    </w:p>
    <w:p w14:paraId="51D6D4D7" w14:textId="53746F19" w:rsidR="008B1237" w:rsidRDefault="008B1237" w:rsidP="008B1237">
      <w:pPr>
        <w:pStyle w:val="Paragraphedeliste"/>
        <w:numPr>
          <w:ilvl w:val="0"/>
          <w:numId w:val="14"/>
        </w:numPr>
        <w:jc w:val="both"/>
        <w:rPr>
          <w:iCs/>
          <w:szCs w:val="20"/>
          <w:lang w:val="en-US"/>
        </w:rPr>
      </w:pPr>
      <w:r w:rsidRPr="008B1237">
        <w:rPr>
          <w:iCs/>
          <w:szCs w:val="20"/>
          <w:lang w:val="en-US"/>
        </w:rPr>
        <w:t xml:space="preserve">To what extent were the </w:t>
      </w:r>
      <w:r w:rsidR="00EF6158" w:rsidRPr="008B1237">
        <w:rPr>
          <w:iCs/>
          <w:szCs w:val="20"/>
          <w:lang w:val="en-US"/>
        </w:rPr>
        <w:t>program’s</w:t>
      </w:r>
      <w:r w:rsidRPr="008B1237">
        <w:rPr>
          <w:iCs/>
          <w:szCs w:val="20"/>
          <w:lang w:val="en-US"/>
        </w:rPr>
        <w:t xml:space="preserve"> financial and human resources used efficiently to achieve planned </w:t>
      </w:r>
      <w:r w:rsidR="00EF6158" w:rsidRPr="008B1237">
        <w:rPr>
          <w:iCs/>
          <w:szCs w:val="20"/>
          <w:lang w:val="en-US"/>
        </w:rPr>
        <w:t>output</w:t>
      </w:r>
      <w:r w:rsidRPr="008B1237">
        <w:rPr>
          <w:iCs/>
          <w:szCs w:val="20"/>
          <w:lang w:val="en-US"/>
        </w:rPr>
        <w:t xml:space="preserve"> and outcomes?</w:t>
      </w:r>
    </w:p>
    <w:p w14:paraId="1B0D8E41" w14:textId="6774F0E6" w:rsidR="008B1237" w:rsidRPr="00C3617D" w:rsidRDefault="008B1237" w:rsidP="008B1237">
      <w:pPr>
        <w:pStyle w:val="Paragraphedeliste"/>
        <w:numPr>
          <w:ilvl w:val="0"/>
          <w:numId w:val="14"/>
        </w:numPr>
        <w:jc w:val="both"/>
        <w:rPr>
          <w:b/>
          <w:bCs/>
          <w:iCs/>
          <w:szCs w:val="20"/>
          <w:lang w:val="en-US"/>
        </w:rPr>
      </w:pPr>
      <w:r w:rsidRPr="008B1237">
        <w:rPr>
          <w:iCs/>
          <w:szCs w:val="20"/>
          <w:lang w:val="en-US"/>
        </w:rPr>
        <w:t xml:space="preserve">Could the same or better results have been achieved with alternative or lower-cost </w:t>
      </w:r>
      <w:r w:rsidR="00FB4676" w:rsidRPr="008B1237">
        <w:rPr>
          <w:iCs/>
          <w:szCs w:val="20"/>
          <w:lang w:val="en-US"/>
        </w:rPr>
        <w:t xml:space="preserve">approach </w:t>
      </w:r>
      <w:r w:rsidR="00FB4676" w:rsidRPr="00C3617D">
        <w:rPr>
          <w:b/>
          <w:bCs/>
          <w:iCs/>
          <w:szCs w:val="20"/>
          <w:lang w:val="en-US"/>
        </w:rPr>
        <w:t xml:space="preserve">considering the difficulty </w:t>
      </w:r>
      <w:r w:rsidR="002A1C43" w:rsidRPr="00C3617D">
        <w:rPr>
          <w:b/>
          <w:bCs/>
          <w:iCs/>
          <w:szCs w:val="20"/>
          <w:lang w:val="en-US"/>
        </w:rPr>
        <w:t>of reaching out to</w:t>
      </w:r>
      <w:r w:rsidR="00FB4676" w:rsidRPr="00C3617D">
        <w:rPr>
          <w:b/>
          <w:bCs/>
          <w:iCs/>
          <w:szCs w:val="20"/>
          <w:lang w:val="en-US"/>
        </w:rPr>
        <w:t xml:space="preserve"> the target group</w:t>
      </w:r>
      <w:r w:rsidRPr="00C3617D">
        <w:rPr>
          <w:b/>
          <w:bCs/>
          <w:iCs/>
          <w:szCs w:val="20"/>
          <w:lang w:val="en-US"/>
        </w:rPr>
        <w:t>?</w:t>
      </w:r>
    </w:p>
    <w:p w14:paraId="3F7C9141" w14:textId="34A6E896" w:rsidR="008B1237" w:rsidRPr="008B1237" w:rsidRDefault="008B1237" w:rsidP="008B1237">
      <w:pPr>
        <w:pStyle w:val="Paragraphedeliste"/>
        <w:numPr>
          <w:ilvl w:val="0"/>
          <w:numId w:val="14"/>
        </w:numPr>
        <w:jc w:val="both"/>
        <w:rPr>
          <w:iCs/>
          <w:szCs w:val="20"/>
          <w:lang w:val="en-US"/>
        </w:rPr>
      </w:pPr>
      <w:r w:rsidRPr="008B1237">
        <w:rPr>
          <w:iCs/>
          <w:szCs w:val="20"/>
          <w:lang w:val="en-US"/>
        </w:rPr>
        <w:t xml:space="preserve">How does the cost of the </w:t>
      </w:r>
      <w:r w:rsidR="00EF6158" w:rsidRPr="008B1237">
        <w:rPr>
          <w:iCs/>
          <w:szCs w:val="20"/>
          <w:lang w:val="en-US"/>
        </w:rPr>
        <w:t>program’s</w:t>
      </w:r>
      <w:r w:rsidRPr="008B1237">
        <w:rPr>
          <w:iCs/>
          <w:szCs w:val="20"/>
          <w:lang w:val="en-US"/>
        </w:rPr>
        <w:t xml:space="preserve"> outcomes compare to the value and sustainability of the benefits achieved for target beneficiaries?</w:t>
      </w:r>
    </w:p>
    <w:p w14:paraId="28DD44FB" w14:textId="77777777" w:rsidR="008B1237" w:rsidRPr="008B1237" w:rsidRDefault="008B1237" w:rsidP="008B1237">
      <w:pPr>
        <w:pStyle w:val="Paragraphedeliste"/>
        <w:jc w:val="both"/>
        <w:rPr>
          <w:iCs/>
          <w:szCs w:val="20"/>
          <w:lang w:val="en-US"/>
        </w:rPr>
      </w:pPr>
    </w:p>
    <w:p w14:paraId="1855E42C" w14:textId="77777777" w:rsidR="008B1237" w:rsidRPr="008B1237" w:rsidRDefault="008B1237" w:rsidP="008B1237">
      <w:pPr>
        <w:pStyle w:val="Paragraphedeliste"/>
        <w:jc w:val="both"/>
        <w:rPr>
          <w:iCs/>
          <w:szCs w:val="20"/>
          <w:lang w:val="en-US"/>
        </w:rPr>
      </w:pPr>
    </w:p>
    <w:p w14:paraId="39B02BD3" w14:textId="703D73F5" w:rsidR="008B1237" w:rsidRPr="008B1237" w:rsidRDefault="008B1237" w:rsidP="008B1237">
      <w:pPr>
        <w:jc w:val="both"/>
        <w:rPr>
          <w:iCs/>
          <w:szCs w:val="20"/>
          <w:lang w:val="en-US"/>
        </w:rPr>
      </w:pPr>
      <w:r w:rsidRPr="008B1237">
        <w:rPr>
          <w:iCs/>
          <w:szCs w:val="20"/>
          <w:lang w:val="en-US"/>
        </w:rPr>
        <w:t xml:space="preserve"> </w:t>
      </w:r>
    </w:p>
    <w:p w14:paraId="267CB640" w14:textId="10E82B95" w:rsidR="007565A5" w:rsidRPr="007565A5" w:rsidRDefault="007565A5" w:rsidP="007565A5">
      <w:pPr>
        <w:jc w:val="both"/>
        <w:rPr>
          <w:iCs/>
          <w:szCs w:val="20"/>
          <w:lang w:val="en-US"/>
        </w:rPr>
      </w:pPr>
    </w:p>
    <w:p w14:paraId="4205AFDE" w14:textId="77777777" w:rsidR="00F9586B" w:rsidRPr="00C624F8" w:rsidRDefault="00F9586B" w:rsidP="00F9586B">
      <w:pPr>
        <w:jc w:val="both"/>
        <w:rPr>
          <w:iCs/>
          <w:szCs w:val="20"/>
          <w:u w:val="single"/>
          <w:lang w:val="en-US"/>
        </w:rPr>
      </w:pPr>
    </w:p>
    <w:p w14:paraId="771EB944" w14:textId="77777777" w:rsidR="0029000B" w:rsidRPr="00C624F8" w:rsidRDefault="0029000B" w:rsidP="00F9586B">
      <w:pPr>
        <w:jc w:val="both"/>
        <w:rPr>
          <w:iCs/>
          <w:szCs w:val="20"/>
          <w:lang w:val="en-US"/>
        </w:rPr>
      </w:pPr>
    </w:p>
    <w:p w14:paraId="528B4B38" w14:textId="77777777" w:rsidR="00504770" w:rsidRDefault="00F76BAE">
      <w:pPr>
        <w:numPr>
          <w:ilvl w:val="1"/>
          <w:numId w:val="1"/>
        </w:numPr>
        <w:jc w:val="both"/>
      </w:pPr>
      <w:r>
        <w:t xml:space="preserve">Profile and </w:t>
      </w:r>
      <w:r>
        <w:rPr>
          <w:lang w:val="en-GB"/>
        </w:rPr>
        <w:t>required</w:t>
      </w:r>
      <w:r>
        <w:t xml:space="preserve"> expertise </w:t>
      </w:r>
    </w:p>
    <w:p w14:paraId="528B4B39" w14:textId="77777777" w:rsidR="00504770" w:rsidRDefault="00504770">
      <w:pPr>
        <w:pStyle w:val="Sansinterligne"/>
        <w:jc w:val="both"/>
      </w:pPr>
    </w:p>
    <w:p w14:paraId="57EF291B" w14:textId="77777777" w:rsidR="007C02DF" w:rsidRDefault="00F76BAE" w:rsidP="007C02DF">
      <w:pPr>
        <w:jc w:val="both"/>
        <w:rPr>
          <w:iCs/>
          <w:szCs w:val="20"/>
          <w:lang w:val="en-US"/>
        </w:rPr>
      </w:pPr>
      <w:r>
        <w:rPr>
          <w:iCs/>
          <w:szCs w:val="20"/>
          <w:lang w:val="en-US"/>
        </w:rPr>
        <w:t xml:space="preserve">The evaluator/consultant should have expertise in development cooperation (in Asia) and sufficient mastery of: </w:t>
      </w:r>
    </w:p>
    <w:p w14:paraId="528B4B3B" w14:textId="22A9CB80" w:rsidR="00504770" w:rsidRDefault="007C02DF">
      <w:pPr>
        <w:numPr>
          <w:ilvl w:val="0"/>
          <w:numId w:val="10"/>
        </w:numPr>
        <w:ind w:left="360"/>
        <w:jc w:val="both"/>
        <w:rPr>
          <w:iCs/>
          <w:szCs w:val="20"/>
          <w:lang w:val="en-US"/>
        </w:rPr>
      </w:pPr>
      <w:r>
        <w:rPr>
          <w:iCs/>
          <w:szCs w:val="20"/>
          <w:lang w:val="en-US"/>
        </w:rPr>
        <w:t>External evaluation for supported project by the DGD</w:t>
      </w:r>
    </w:p>
    <w:p w14:paraId="29720484" w14:textId="7A954BC2" w:rsidR="007C02DF" w:rsidRPr="007C02DF" w:rsidRDefault="007C02DF" w:rsidP="007C02DF">
      <w:pPr>
        <w:numPr>
          <w:ilvl w:val="0"/>
          <w:numId w:val="10"/>
        </w:numPr>
        <w:ind w:left="360"/>
        <w:jc w:val="both"/>
        <w:rPr>
          <w:iCs/>
          <w:szCs w:val="20"/>
          <w:lang w:val="en-US"/>
        </w:rPr>
      </w:pPr>
      <w:r w:rsidRPr="007C02DF">
        <w:rPr>
          <w:iCs/>
          <w:szCs w:val="20"/>
          <w:lang w:val="en-US"/>
        </w:rPr>
        <w:t>The associative world (role / place in a society, complementarily with other sectors - functioning - strengths and weaknesses etc.),</w:t>
      </w:r>
    </w:p>
    <w:p w14:paraId="528B4B3C" w14:textId="77777777" w:rsidR="00504770" w:rsidRDefault="00F76BAE">
      <w:pPr>
        <w:numPr>
          <w:ilvl w:val="0"/>
          <w:numId w:val="10"/>
        </w:numPr>
        <w:ind w:left="360"/>
        <w:jc w:val="both"/>
        <w:rPr>
          <w:iCs/>
          <w:szCs w:val="20"/>
          <w:lang w:val="en-US"/>
        </w:rPr>
      </w:pPr>
      <w:r>
        <w:rPr>
          <w:iCs/>
          <w:szCs w:val="20"/>
          <w:lang w:val="en-US"/>
        </w:rPr>
        <w:t xml:space="preserve">the theme of gender and vocational education and training (formal/informal), </w:t>
      </w:r>
    </w:p>
    <w:p w14:paraId="528B4B3D" w14:textId="3049E733" w:rsidR="00504770" w:rsidRDefault="00F76BAE">
      <w:pPr>
        <w:numPr>
          <w:ilvl w:val="0"/>
          <w:numId w:val="10"/>
        </w:numPr>
        <w:ind w:left="360"/>
        <w:jc w:val="both"/>
        <w:rPr>
          <w:iCs/>
          <w:szCs w:val="20"/>
          <w:lang w:val="en-US"/>
        </w:rPr>
      </w:pPr>
      <w:r>
        <w:rPr>
          <w:iCs/>
          <w:szCs w:val="20"/>
          <w:lang w:val="en-US"/>
        </w:rPr>
        <w:t xml:space="preserve">actions to reintegrate vulnerable children and young people, children in street </w:t>
      </w:r>
      <w:r w:rsidR="007C02DF">
        <w:rPr>
          <w:iCs/>
          <w:szCs w:val="20"/>
          <w:lang w:val="en-US"/>
        </w:rPr>
        <w:t>situations</w:t>
      </w:r>
      <w:r>
        <w:rPr>
          <w:iCs/>
          <w:szCs w:val="20"/>
          <w:lang w:val="en-US"/>
        </w:rPr>
        <w:t>,</w:t>
      </w:r>
    </w:p>
    <w:p w14:paraId="528B4B3E" w14:textId="77777777" w:rsidR="00504770" w:rsidRDefault="00F76BAE">
      <w:pPr>
        <w:numPr>
          <w:ilvl w:val="0"/>
          <w:numId w:val="10"/>
        </w:numPr>
        <w:ind w:left="360"/>
        <w:jc w:val="both"/>
        <w:rPr>
          <w:iCs/>
          <w:szCs w:val="20"/>
          <w:lang w:val="en-US"/>
        </w:rPr>
      </w:pPr>
      <w:r>
        <w:rPr>
          <w:iCs/>
          <w:szCs w:val="20"/>
          <w:lang w:val="en-US"/>
        </w:rPr>
        <w:t xml:space="preserve">techniques for facilitating multi- exchanges and peer support, </w:t>
      </w:r>
    </w:p>
    <w:p w14:paraId="528B4B3F" w14:textId="77777777" w:rsidR="00504770" w:rsidRDefault="00F76BAE">
      <w:pPr>
        <w:numPr>
          <w:ilvl w:val="0"/>
          <w:numId w:val="10"/>
        </w:numPr>
        <w:ind w:left="360"/>
        <w:jc w:val="both"/>
        <w:rPr>
          <w:iCs/>
          <w:szCs w:val="20"/>
          <w:lang w:val="en-US"/>
        </w:rPr>
      </w:pPr>
      <w:r>
        <w:rPr>
          <w:iCs/>
          <w:szCs w:val="20"/>
          <w:lang w:val="en-US"/>
        </w:rPr>
        <w:t>capacity building in organizational and operational management,</w:t>
      </w:r>
    </w:p>
    <w:p w14:paraId="528B4B40" w14:textId="77777777" w:rsidR="00504770" w:rsidRDefault="00F76BAE">
      <w:pPr>
        <w:numPr>
          <w:ilvl w:val="0"/>
          <w:numId w:val="10"/>
        </w:numPr>
        <w:ind w:left="360"/>
        <w:jc w:val="both"/>
        <w:rPr>
          <w:iCs/>
          <w:szCs w:val="20"/>
          <w:lang w:val="en-US"/>
        </w:rPr>
      </w:pPr>
      <w:r>
        <w:rPr>
          <w:iCs/>
          <w:szCs w:val="20"/>
          <w:lang w:val="en-US"/>
        </w:rPr>
        <w:t>classic computer tools (Word, Excel, Internet ...) and the English language.</w:t>
      </w:r>
    </w:p>
    <w:p w14:paraId="528B4B41" w14:textId="77777777" w:rsidR="00504770" w:rsidRDefault="00F76BAE">
      <w:pPr>
        <w:pStyle w:val="Titre"/>
      </w:pPr>
      <w:r>
        <w:t xml:space="preserve">Timing, pilotage and </w:t>
      </w:r>
      <w:r>
        <w:rPr>
          <w:lang w:val="en-GB"/>
        </w:rPr>
        <w:t>deliverables</w:t>
      </w:r>
      <w:r>
        <w:t xml:space="preserve"> : </w:t>
      </w:r>
    </w:p>
    <w:p w14:paraId="528B4B42" w14:textId="77777777" w:rsidR="00504770" w:rsidRDefault="00504770">
      <w:pPr>
        <w:pStyle w:val="Sansinterligne"/>
      </w:pPr>
    </w:p>
    <w:p w14:paraId="528B4B43" w14:textId="33BFF1DD" w:rsidR="00504770" w:rsidRDefault="00F76BAE">
      <w:pPr>
        <w:jc w:val="both"/>
        <w:rPr>
          <w:lang w:val="en-US"/>
        </w:rPr>
      </w:pPr>
      <w:r>
        <w:rPr>
          <w:lang w:val="en-US"/>
        </w:rPr>
        <w:t xml:space="preserve">The technical and financial offers are expected by </w:t>
      </w:r>
      <w:r w:rsidR="0005504F">
        <w:rPr>
          <w:lang w:val="en-US"/>
        </w:rPr>
        <w:t>November</w:t>
      </w:r>
      <w:r w:rsidR="00110BBA">
        <w:rPr>
          <w:lang w:val="en-US"/>
        </w:rPr>
        <w:t xml:space="preserve"> 1</w:t>
      </w:r>
      <w:r w:rsidR="0068345E" w:rsidRPr="001B4BFC">
        <w:rPr>
          <w:lang w:val="en-US"/>
        </w:rPr>
        <w:t>4 th</w:t>
      </w:r>
      <w:r w:rsidRPr="001B4BFC">
        <w:rPr>
          <w:lang w:val="en-US"/>
        </w:rPr>
        <w:t>,</w:t>
      </w:r>
      <w:r w:rsidRPr="0005504F">
        <w:rPr>
          <w:lang w:val="en-US"/>
        </w:rPr>
        <w:t xml:space="preserve"> 2025,</w:t>
      </w:r>
      <w:r>
        <w:rPr>
          <w:lang w:val="en-US"/>
        </w:rPr>
        <w:t xml:space="preserve"> at the latest.</w:t>
      </w:r>
    </w:p>
    <w:p w14:paraId="528B4B44" w14:textId="77777777" w:rsidR="00504770" w:rsidRDefault="00504770">
      <w:pPr>
        <w:pStyle w:val="Sansinterligne"/>
        <w:rPr>
          <w:lang w:val="en-US"/>
        </w:rPr>
      </w:pPr>
    </w:p>
    <w:tbl>
      <w:tblPr>
        <w:tblW w:w="4973" w:type="pct"/>
        <w:tblLook w:val="04A0" w:firstRow="1" w:lastRow="0" w:firstColumn="1" w:lastColumn="0" w:noHBand="0" w:noVBand="1"/>
      </w:tblPr>
      <w:tblGrid>
        <w:gridCol w:w="560"/>
        <w:gridCol w:w="477"/>
        <w:gridCol w:w="1406"/>
        <w:gridCol w:w="1406"/>
        <w:gridCol w:w="983"/>
        <w:gridCol w:w="216"/>
        <w:gridCol w:w="405"/>
        <w:gridCol w:w="559"/>
        <w:gridCol w:w="665"/>
        <w:gridCol w:w="583"/>
        <w:gridCol w:w="533"/>
        <w:gridCol w:w="736"/>
        <w:gridCol w:w="216"/>
        <w:gridCol w:w="469"/>
      </w:tblGrid>
      <w:tr w:rsidR="00504770" w14:paraId="528B4B47" w14:textId="77777777">
        <w:trPr>
          <w:gridAfter w:val="1"/>
          <w:wAfter w:w="600" w:type="dxa"/>
          <w:trHeight w:val="300"/>
        </w:trPr>
        <w:tc>
          <w:tcPr>
            <w:tcW w:w="8779" w:type="dxa"/>
            <w:gridSpan w:val="13"/>
            <w:tcBorders>
              <w:top w:val="nil"/>
              <w:left w:val="nil"/>
              <w:bottom w:val="nil"/>
              <w:right w:val="nil"/>
            </w:tcBorders>
            <w:noWrap/>
            <w:vAlign w:val="bottom"/>
          </w:tcPr>
          <w:p w14:paraId="528B4B45" w14:textId="77777777" w:rsidR="00504770" w:rsidRDefault="00F76BAE">
            <w:pPr>
              <w:ind w:right="283"/>
              <w:rPr>
                <w:b/>
                <w:szCs w:val="20"/>
                <w:lang w:val="en-GB" w:eastAsia="en-GB"/>
              </w:rPr>
            </w:pPr>
            <w:r>
              <w:rPr>
                <w:b/>
                <w:szCs w:val="20"/>
                <w:lang w:val="en-GB" w:eastAsia="en-GB"/>
              </w:rPr>
              <w:t>Technical evaluation grid for consultants</w:t>
            </w:r>
          </w:p>
          <w:p w14:paraId="528B4B46" w14:textId="77777777" w:rsidR="00504770" w:rsidRDefault="00504770">
            <w:pPr>
              <w:pStyle w:val="Sansinterligne"/>
              <w:rPr>
                <w:lang w:val="en-GB" w:eastAsia="en-GB"/>
              </w:rPr>
            </w:pPr>
          </w:p>
        </w:tc>
      </w:tr>
      <w:tr w:rsidR="00504770" w14:paraId="528B4B4D" w14:textId="77777777">
        <w:trPr>
          <w:trHeight w:val="405"/>
        </w:trPr>
        <w:tc>
          <w:tcPr>
            <w:tcW w:w="4929" w:type="dxa"/>
            <w:gridSpan w:val="5"/>
            <w:vMerge w:val="restart"/>
            <w:tcBorders>
              <w:top w:val="single" w:sz="4" w:space="0" w:color="auto"/>
              <w:left w:val="single" w:sz="4" w:space="0" w:color="auto"/>
              <w:bottom w:val="single" w:sz="4" w:space="0" w:color="000000"/>
              <w:right w:val="single" w:sz="4" w:space="0" w:color="000000"/>
            </w:tcBorders>
            <w:vAlign w:val="center"/>
          </w:tcPr>
          <w:p w14:paraId="528B4B48" w14:textId="77777777" w:rsidR="00504770" w:rsidRDefault="00F76BAE">
            <w:pPr>
              <w:jc w:val="center"/>
              <w:rPr>
                <w:lang w:val="en-GB" w:eastAsia="en-GB"/>
              </w:rPr>
            </w:pPr>
            <w:r>
              <w:rPr>
                <w:lang w:val="en-GB"/>
              </w:rPr>
              <w:br/>
            </w:r>
            <w:r>
              <w:rPr>
                <w:shd w:val="clear" w:color="auto" w:fill="F8F9FA"/>
                <w:lang w:val="en-GB"/>
              </w:rPr>
              <w:t>Summary of Technical Proposal Evaluation Forms</w:t>
            </w:r>
          </w:p>
        </w:tc>
        <w:tc>
          <w:tcPr>
            <w:tcW w:w="1194" w:type="dxa"/>
            <w:gridSpan w:val="3"/>
            <w:vMerge w:val="restart"/>
            <w:tcBorders>
              <w:top w:val="single" w:sz="4" w:space="0" w:color="auto"/>
              <w:left w:val="single" w:sz="4" w:space="0" w:color="auto"/>
              <w:bottom w:val="single" w:sz="4" w:space="0" w:color="000000"/>
              <w:right w:val="single" w:sz="4" w:space="0" w:color="auto"/>
            </w:tcBorders>
            <w:vAlign w:val="center"/>
          </w:tcPr>
          <w:p w14:paraId="528B4B49" w14:textId="77777777" w:rsidR="00504770" w:rsidRDefault="00F76BAE">
            <w:pPr>
              <w:jc w:val="center"/>
              <w:rPr>
                <w:szCs w:val="20"/>
                <w:lang w:val="en-GB" w:eastAsia="en-GB"/>
              </w:rPr>
            </w:pPr>
            <w:r>
              <w:rPr>
                <w:szCs w:val="20"/>
                <w:lang w:val="en-GB" w:eastAsia="en-GB"/>
              </w:rPr>
              <w:t>Maximum</w:t>
            </w:r>
          </w:p>
          <w:p w14:paraId="528B4B4A" w14:textId="77777777" w:rsidR="00504770" w:rsidRDefault="00F76BAE">
            <w:pPr>
              <w:jc w:val="center"/>
              <w:rPr>
                <w:szCs w:val="20"/>
                <w:lang w:val="en-GB" w:eastAsia="en-GB"/>
              </w:rPr>
            </w:pPr>
            <w:r>
              <w:rPr>
                <w:szCs w:val="20"/>
                <w:lang w:val="en-GB" w:eastAsia="en-GB"/>
              </w:rPr>
              <w:t>Score</w:t>
            </w:r>
          </w:p>
        </w:tc>
        <w:tc>
          <w:tcPr>
            <w:tcW w:w="3256" w:type="dxa"/>
            <w:gridSpan w:val="6"/>
            <w:tcBorders>
              <w:top w:val="single" w:sz="4" w:space="0" w:color="auto"/>
              <w:left w:val="nil"/>
              <w:bottom w:val="single" w:sz="4" w:space="0" w:color="auto"/>
              <w:right w:val="single" w:sz="4" w:space="0" w:color="000000"/>
            </w:tcBorders>
            <w:noWrap/>
            <w:vAlign w:val="bottom"/>
          </w:tcPr>
          <w:p w14:paraId="528B4B4B" w14:textId="77777777" w:rsidR="00504770" w:rsidRDefault="00F76BAE">
            <w:pPr>
              <w:jc w:val="center"/>
              <w:rPr>
                <w:szCs w:val="20"/>
                <w:lang w:val="en-GB" w:eastAsia="en-GB"/>
              </w:rPr>
            </w:pPr>
            <w:r>
              <w:rPr>
                <w:szCs w:val="20"/>
                <w:lang w:val="en-GB" w:eastAsia="en-GB"/>
              </w:rPr>
              <w:t>Consultants</w:t>
            </w:r>
          </w:p>
          <w:p w14:paraId="528B4B4C" w14:textId="77777777" w:rsidR="00504770" w:rsidRDefault="00504770">
            <w:pPr>
              <w:pStyle w:val="Sansinterligne"/>
              <w:rPr>
                <w:lang w:val="en-GB" w:eastAsia="en-GB"/>
              </w:rPr>
            </w:pPr>
          </w:p>
        </w:tc>
      </w:tr>
      <w:tr w:rsidR="00504770" w14:paraId="528B4B55" w14:textId="77777777">
        <w:trPr>
          <w:trHeight w:val="465"/>
        </w:trPr>
        <w:tc>
          <w:tcPr>
            <w:tcW w:w="4929" w:type="dxa"/>
            <w:gridSpan w:val="5"/>
            <w:vMerge/>
            <w:tcBorders>
              <w:top w:val="single" w:sz="4" w:space="0" w:color="auto"/>
              <w:left w:val="single" w:sz="4" w:space="0" w:color="auto"/>
              <w:bottom w:val="single" w:sz="4" w:space="0" w:color="000000"/>
              <w:right w:val="single" w:sz="4" w:space="0" w:color="000000"/>
            </w:tcBorders>
            <w:vAlign w:val="center"/>
          </w:tcPr>
          <w:p w14:paraId="528B4B4E" w14:textId="77777777" w:rsidR="00504770" w:rsidRDefault="00504770">
            <w:pPr>
              <w:rPr>
                <w:szCs w:val="20"/>
                <w:lang w:val="en-GB" w:eastAsia="en-GB"/>
              </w:rPr>
            </w:pPr>
          </w:p>
        </w:tc>
        <w:tc>
          <w:tcPr>
            <w:tcW w:w="1194" w:type="dxa"/>
            <w:gridSpan w:val="3"/>
            <w:vMerge/>
            <w:tcBorders>
              <w:top w:val="single" w:sz="4" w:space="0" w:color="auto"/>
              <w:left w:val="single" w:sz="4" w:space="0" w:color="auto"/>
              <w:bottom w:val="single" w:sz="4" w:space="0" w:color="000000"/>
              <w:right w:val="single" w:sz="4" w:space="0" w:color="auto"/>
            </w:tcBorders>
            <w:vAlign w:val="center"/>
          </w:tcPr>
          <w:p w14:paraId="528B4B4F" w14:textId="77777777" w:rsidR="00504770" w:rsidRDefault="00504770">
            <w:pPr>
              <w:rPr>
                <w:szCs w:val="20"/>
                <w:lang w:val="en-GB" w:eastAsia="en-GB"/>
              </w:rPr>
            </w:pPr>
          </w:p>
        </w:tc>
        <w:tc>
          <w:tcPr>
            <w:tcW w:w="677" w:type="dxa"/>
            <w:tcBorders>
              <w:top w:val="nil"/>
              <w:left w:val="nil"/>
              <w:bottom w:val="single" w:sz="4" w:space="0" w:color="auto"/>
              <w:right w:val="single" w:sz="4" w:space="0" w:color="auto"/>
            </w:tcBorders>
            <w:noWrap/>
            <w:vAlign w:val="center"/>
          </w:tcPr>
          <w:p w14:paraId="528B4B50" w14:textId="77777777" w:rsidR="00504770" w:rsidRDefault="00F76BAE">
            <w:pPr>
              <w:ind w:right="-63"/>
              <w:rPr>
                <w:szCs w:val="20"/>
                <w:lang w:val="en-GB" w:eastAsia="en-GB"/>
              </w:rPr>
            </w:pPr>
            <w:r>
              <w:rPr>
                <w:szCs w:val="20"/>
                <w:lang w:val="en-GB" w:eastAsia="en-GB"/>
              </w:rPr>
              <w:t>A</w:t>
            </w:r>
          </w:p>
        </w:tc>
        <w:tc>
          <w:tcPr>
            <w:tcW w:w="592" w:type="dxa"/>
            <w:tcBorders>
              <w:top w:val="nil"/>
              <w:left w:val="nil"/>
              <w:bottom w:val="single" w:sz="4" w:space="0" w:color="auto"/>
              <w:right w:val="single" w:sz="4" w:space="0" w:color="auto"/>
            </w:tcBorders>
            <w:noWrap/>
            <w:vAlign w:val="center"/>
          </w:tcPr>
          <w:p w14:paraId="528B4B51" w14:textId="77777777" w:rsidR="00504770" w:rsidRDefault="00F76BAE">
            <w:pPr>
              <w:ind w:left="-554" w:firstLine="270"/>
              <w:rPr>
                <w:szCs w:val="20"/>
                <w:lang w:val="en-GB" w:eastAsia="en-GB"/>
              </w:rPr>
            </w:pPr>
            <w:r>
              <w:rPr>
                <w:szCs w:val="20"/>
                <w:lang w:val="en-GB" w:eastAsia="en-GB"/>
              </w:rPr>
              <w:t xml:space="preserve">B   B </w:t>
            </w:r>
          </w:p>
        </w:tc>
        <w:tc>
          <w:tcPr>
            <w:tcW w:w="541" w:type="dxa"/>
            <w:tcBorders>
              <w:top w:val="nil"/>
              <w:left w:val="nil"/>
              <w:bottom w:val="single" w:sz="4" w:space="0" w:color="auto"/>
              <w:right w:val="single" w:sz="4" w:space="0" w:color="auto"/>
            </w:tcBorders>
            <w:noWrap/>
            <w:vAlign w:val="center"/>
          </w:tcPr>
          <w:p w14:paraId="528B4B52" w14:textId="77777777" w:rsidR="00504770" w:rsidRDefault="00F76BAE">
            <w:pPr>
              <w:rPr>
                <w:szCs w:val="20"/>
                <w:lang w:val="en-GB" w:eastAsia="en-GB"/>
              </w:rPr>
            </w:pPr>
            <w:r>
              <w:rPr>
                <w:szCs w:val="20"/>
                <w:lang w:val="en-GB" w:eastAsia="en-GB"/>
              </w:rPr>
              <w:t>C</w:t>
            </w:r>
          </w:p>
        </w:tc>
        <w:tc>
          <w:tcPr>
            <w:tcW w:w="749" w:type="dxa"/>
            <w:tcBorders>
              <w:top w:val="nil"/>
              <w:left w:val="nil"/>
              <w:bottom w:val="single" w:sz="4" w:space="0" w:color="auto"/>
              <w:right w:val="single" w:sz="4" w:space="0" w:color="auto"/>
            </w:tcBorders>
            <w:noWrap/>
            <w:vAlign w:val="center"/>
          </w:tcPr>
          <w:p w14:paraId="528B4B53" w14:textId="77777777" w:rsidR="00504770" w:rsidRDefault="00F76BAE">
            <w:pPr>
              <w:rPr>
                <w:szCs w:val="20"/>
                <w:lang w:val="en-GB" w:eastAsia="en-GB"/>
              </w:rPr>
            </w:pPr>
            <w:r>
              <w:rPr>
                <w:szCs w:val="20"/>
                <w:lang w:val="en-GB" w:eastAsia="en-GB"/>
              </w:rPr>
              <w:t>D</w:t>
            </w:r>
          </w:p>
        </w:tc>
        <w:tc>
          <w:tcPr>
            <w:tcW w:w="697" w:type="dxa"/>
            <w:gridSpan w:val="2"/>
            <w:tcBorders>
              <w:top w:val="nil"/>
              <w:left w:val="nil"/>
              <w:bottom w:val="single" w:sz="4" w:space="0" w:color="auto"/>
              <w:right w:val="single" w:sz="4" w:space="0" w:color="auto"/>
            </w:tcBorders>
            <w:noWrap/>
            <w:vAlign w:val="center"/>
          </w:tcPr>
          <w:p w14:paraId="528B4B54" w14:textId="77777777" w:rsidR="00504770" w:rsidRDefault="00F76BAE">
            <w:pPr>
              <w:rPr>
                <w:szCs w:val="20"/>
                <w:lang w:val="en-GB" w:eastAsia="en-GB"/>
              </w:rPr>
            </w:pPr>
            <w:r>
              <w:rPr>
                <w:szCs w:val="20"/>
                <w:lang w:val="en-GB" w:eastAsia="en-GB"/>
              </w:rPr>
              <w:t>E</w:t>
            </w:r>
          </w:p>
        </w:tc>
      </w:tr>
      <w:tr w:rsidR="00504770" w14:paraId="528B4B5E" w14:textId="77777777">
        <w:trPr>
          <w:trHeight w:val="405"/>
        </w:trPr>
        <w:tc>
          <w:tcPr>
            <w:tcW w:w="568" w:type="dxa"/>
            <w:tcBorders>
              <w:top w:val="nil"/>
              <w:left w:val="single" w:sz="4" w:space="0" w:color="auto"/>
              <w:bottom w:val="single" w:sz="4" w:space="0" w:color="auto"/>
              <w:right w:val="single" w:sz="4" w:space="0" w:color="auto"/>
            </w:tcBorders>
            <w:noWrap/>
            <w:vAlign w:val="center"/>
          </w:tcPr>
          <w:p w14:paraId="528B4B56" w14:textId="77777777" w:rsidR="00504770" w:rsidRDefault="00F76BAE">
            <w:pPr>
              <w:rPr>
                <w:szCs w:val="20"/>
                <w:lang w:val="en-GB" w:eastAsia="en-GB"/>
              </w:rPr>
            </w:pPr>
            <w:r>
              <w:rPr>
                <w:szCs w:val="20"/>
                <w:lang w:val="en-GB" w:eastAsia="en-GB"/>
              </w:rPr>
              <w:t>1</w:t>
            </w:r>
          </w:p>
        </w:tc>
        <w:tc>
          <w:tcPr>
            <w:tcW w:w="4361" w:type="dxa"/>
            <w:gridSpan w:val="4"/>
            <w:tcBorders>
              <w:top w:val="single" w:sz="4" w:space="0" w:color="auto"/>
              <w:left w:val="nil"/>
              <w:bottom w:val="single" w:sz="4" w:space="0" w:color="auto"/>
              <w:right w:val="single" w:sz="4" w:space="0" w:color="000000"/>
            </w:tcBorders>
            <w:vAlign w:val="center"/>
          </w:tcPr>
          <w:p w14:paraId="528B4B57" w14:textId="77777777" w:rsidR="00504770" w:rsidRDefault="00F76BAE">
            <w:pPr>
              <w:rPr>
                <w:szCs w:val="20"/>
                <w:lang w:val="en-GB" w:eastAsia="en-GB"/>
              </w:rPr>
            </w:pPr>
            <w:r>
              <w:rPr>
                <w:szCs w:val="20"/>
                <w:lang w:val="en-GB" w:eastAsia="en-GB"/>
              </w:rPr>
              <w:t>Diplomas</w:t>
            </w:r>
          </w:p>
        </w:tc>
        <w:tc>
          <w:tcPr>
            <w:tcW w:w="1194" w:type="dxa"/>
            <w:gridSpan w:val="3"/>
            <w:tcBorders>
              <w:top w:val="nil"/>
              <w:left w:val="nil"/>
              <w:bottom w:val="single" w:sz="4" w:space="0" w:color="auto"/>
              <w:right w:val="single" w:sz="4" w:space="0" w:color="auto"/>
            </w:tcBorders>
            <w:noWrap/>
            <w:vAlign w:val="center"/>
          </w:tcPr>
          <w:p w14:paraId="528B4B58" w14:textId="77777777" w:rsidR="00504770" w:rsidRDefault="00F76BAE">
            <w:pPr>
              <w:rPr>
                <w:szCs w:val="20"/>
                <w:lang w:val="en-GB" w:eastAsia="en-GB"/>
              </w:rPr>
            </w:pPr>
            <w:r>
              <w:rPr>
                <w:szCs w:val="20"/>
                <w:lang w:val="en-GB" w:eastAsia="en-GB"/>
              </w:rPr>
              <w:t>5</w:t>
            </w:r>
          </w:p>
        </w:tc>
        <w:tc>
          <w:tcPr>
            <w:tcW w:w="677" w:type="dxa"/>
            <w:tcBorders>
              <w:top w:val="nil"/>
              <w:left w:val="nil"/>
              <w:bottom w:val="single" w:sz="4" w:space="0" w:color="auto"/>
              <w:right w:val="single" w:sz="4" w:space="0" w:color="auto"/>
            </w:tcBorders>
            <w:noWrap/>
            <w:vAlign w:val="bottom"/>
          </w:tcPr>
          <w:p w14:paraId="528B4B59"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noWrap/>
            <w:vAlign w:val="bottom"/>
          </w:tcPr>
          <w:p w14:paraId="528B4B5A"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noWrap/>
            <w:vAlign w:val="bottom"/>
          </w:tcPr>
          <w:p w14:paraId="528B4B5B"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noWrap/>
            <w:vAlign w:val="bottom"/>
          </w:tcPr>
          <w:p w14:paraId="528B4B5C"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noWrap/>
            <w:vAlign w:val="bottom"/>
          </w:tcPr>
          <w:p w14:paraId="528B4B5D" w14:textId="77777777" w:rsidR="00504770" w:rsidRDefault="00F76BAE">
            <w:pPr>
              <w:rPr>
                <w:szCs w:val="20"/>
                <w:lang w:val="en-GB" w:eastAsia="en-GB"/>
              </w:rPr>
            </w:pPr>
            <w:r>
              <w:rPr>
                <w:szCs w:val="20"/>
                <w:lang w:val="en-GB" w:eastAsia="en-GB"/>
              </w:rPr>
              <w:t> </w:t>
            </w:r>
          </w:p>
        </w:tc>
      </w:tr>
      <w:tr w:rsidR="00504770" w14:paraId="528B4B67" w14:textId="77777777">
        <w:trPr>
          <w:trHeight w:val="420"/>
        </w:trPr>
        <w:tc>
          <w:tcPr>
            <w:tcW w:w="568" w:type="dxa"/>
            <w:tcBorders>
              <w:top w:val="nil"/>
              <w:left w:val="single" w:sz="4" w:space="0" w:color="auto"/>
              <w:bottom w:val="single" w:sz="4" w:space="0" w:color="auto"/>
              <w:right w:val="single" w:sz="4" w:space="0" w:color="auto"/>
            </w:tcBorders>
            <w:noWrap/>
            <w:vAlign w:val="center"/>
          </w:tcPr>
          <w:p w14:paraId="528B4B5F" w14:textId="77777777" w:rsidR="00504770" w:rsidRDefault="00F76BAE">
            <w:pPr>
              <w:rPr>
                <w:szCs w:val="20"/>
                <w:lang w:val="en-GB" w:eastAsia="en-GB"/>
              </w:rPr>
            </w:pPr>
            <w:r>
              <w:rPr>
                <w:szCs w:val="20"/>
                <w:lang w:val="en-GB" w:eastAsia="en-GB"/>
              </w:rPr>
              <w:t>2</w:t>
            </w:r>
          </w:p>
        </w:tc>
        <w:tc>
          <w:tcPr>
            <w:tcW w:w="4361" w:type="dxa"/>
            <w:gridSpan w:val="4"/>
            <w:tcBorders>
              <w:top w:val="single" w:sz="4" w:space="0" w:color="auto"/>
              <w:left w:val="nil"/>
              <w:bottom w:val="single" w:sz="4" w:space="0" w:color="auto"/>
              <w:right w:val="single" w:sz="4" w:space="0" w:color="000000"/>
            </w:tcBorders>
            <w:vAlign w:val="center"/>
          </w:tcPr>
          <w:p w14:paraId="528B4B60" w14:textId="77777777" w:rsidR="00504770" w:rsidRDefault="00F76BAE">
            <w:pPr>
              <w:rPr>
                <w:szCs w:val="20"/>
                <w:lang w:val="en-GB" w:eastAsia="en-GB"/>
              </w:rPr>
            </w:pPr>
            <w:r>
              <w:rPr>
                <w:szCs w:val="20"/>
                <w:lang w:val="en-GB" w:eastAsia="en-GB"/>
              </w:rPr>
              <w:t>Number of years of relevant experience</w:t>
            </w:r>
          </w:p>
        </w:tc>
        <w:tc>
          <w:tcPr>
            <w:tcW w:w="1194" w:type="dxa"/>
            <w:gridSpan w:val="3"/>
            <w:tcBorders>
              <w:top w:val="nil"/>
              <w:left w:val="nil"/>
              <w:bottom w:val="single" w:sz="4" w:space="0" w:color="auto"/>
              <w:right w:val="single" w:sz="4" w:space="0" w:color="auto"/>
            </w:tcBorders>
            <w:noWrap/>
            <w:vAlign w:val="center"/>
          </w:tcPr>
          <w:p w14:paraId="528B4B61" w14:textId="77777777" w:rsidR="00504770" w:rsidRDefault="00F76BAE">
            <w:pPr>
              <w:rPr>
                <w:szCs w:val="20"/>
                <w:lang w:val="en-GB" w:eastAsia="en-GB"/>
              </w:rPr>
            </w:pPr>
            <w:r>
              <w:rPr>
                <w:szCs w:val="20"/>
                <w:lang w:val="en-GB" w:eastAsia="en-GB"/>
              </w:rPr>
              <w:t>15</w:t>
            </w:r>
          </w:p>
        </w:tc>
        <w:tc>
          <w:tcPr>
            <w:tcW w:w="677" w:type="dxa"/>
            <w:tcBorders>
              <w:top w:val="nil"/>
              <w:left w:val="nil"/>
              <w:bottom w:val="single" w:sz="4" w:space="0" w:color="auto"/>
              <w:right w:val="single" w:sz="4" w:space="0" w:color="auto"/>
            </w:tcBorders>
            <w:noWrap/>
            <w:vAlign w:val="bottom"/>
          </w:tcPr>
          <w:p w14:paraId="528B4B62"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noWrap/>
            <w:vAlign w:val="bottom"/>
          </w:tcPr>
          <w:p w14:paraId="528B4B63"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noWrap/>
            <w:vAlign w:val="bottom"/>
          </w:tcPr>
          <w:p w14:paraId="528B4B64"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noWrap/>
            <w:vAlign w:val="bottom"/>
          </w:tcPr>
          <w:p w14:paraId="528B4B65"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noWrap/>
            <w:vAlign w:val="bottom"/>
          </w:tcPr>
          <w:p w14:paraId="528B4B66" w14:textId="77777777" w:rsidR="00504770" w:rsidRDefault="00F76BAE">
            <w:pPr>
              <w:rPr>
                <w:szCs w:val="20"/>
                <w:lang w:val="en-GB" w:eastAsia="en-GB"/>
              </w:rPr>
            </w:pPr>
            <w:r>
              <w:rPr>
                <w:szCs w:val="20"/>
                <w:lang w:val="en-GB" w:eastAsia="en-GB"/>
              </w:rPr>
              <w:t> </w:t>
            </w:r>
          </w:p>
        </w:tc>
      </w:tr>
      <w:tr w:rsidR="00504770" w14:paraId="528B4B70" w14:textId="77777777">
        <w:trPr>
          <w:trHeight w:val="420"/>
        </w:trPr>
        <w:tc>
          <w:tcPr>
            <w:tcW w:w="568" w:type="dxa"/>
            <w:tcBorders>
              <w:top w:val="nil"/>
              <w:left w:val="single" w:sz="4" w:space="0" w:color="auto"/>
              <w:bottom w:val="single" w:sz="4" w:space="0" w:color="auto"/>
              <w:right w:val="single" w:sz="4" w:space="0" w:color="auto"/>
            </w:tcBorders>
            <w:noWrap/>
            <w:vAlign w:val="center"/>
          </w:tcPr>
          <w:p w14:paraId="528B4B68" w14:textId="77777777" w:rsidR="00504770" w:rsidRDefault="00F76BAE">
            <w:pPr>
              <w:rPr>
                <w:szCs w:val="20"/>
                <w:lang w:val="en-GB" w:eastAsia="en-GB"/>
              </w:rPr>
            </w:pPr>
            <w:r>
              <w:rPr>
                <w:szCs w:val="20"/>
                <w:lang w:val="en-GB" w:eastAsia="en-GB"/>
              </w:rPr>
              <w:t>3</w:t>
            </w:r>
          </w:p>
        </w:tc>
        <w:tc>
          <w:tcPr>
            <w:tcW w:w="4361" w:type="dxa"/>
            <w:gridSpan w:val="4"/>
            <w:tcBorders>
              <w:top w:val="single" w:sz="4" w:space="0" w:color="auto"/>
              <w:left w:val="nil"/>
              <w:bottom w:val="single" w:sz="4" w:space="0" w:color="auto"/>
              <w:right w:val="single" w:sz="4" w:space="0" w:color="000000"/>
            </w:tcBorders>
            <w:noWrap/>
            <w:vAlign w:val="center"/>
          </w:tcPr>
          <w:p w14:paraId="528B4B69" w14:textId="77777777" w:rsidR="00504770" w:rsidRDefault="00F76BAE">
            <w:pPr>
              <w:rPr>
                <w:szCs w:val="20"/>
                <w:lang w:val="en-GB" w:eastAsia="en-GB"/>
              </w:rPr>
            </w:pPr>
            <w:r>
              <w:rPr>
                <w:szCs w:val="20"/>
                <w:lang w:val="en-GB" w:eastAsia="en-GB"/>
              </w:rPr>
              <w:t>References of similar consultations (a minimum of 3)</w:t>
            </w:r>
          </w:p>
        </w:tc>
        <w:tc>
          <w:tcPr>
            <w:tcW w:w="1194" w:type="dxa"/>
            <w:gridSpan w:val="3"/>
            <w:tcBorders>
              <w:top w:val="nil"/>
              <w:left w:val="nil"/>
              <w:bottom w:val="single" w:sz="4" w:space="0" w:color="auto"/>
              <w:right w:val="single" w:sz="4" w:space="0" w:color="auto"/>
            </w:tcBorders>
            <w:noWrap/>
            <w:vAlign w:val="center"/>
          </w:tcPr>
          <w:p w14:paraId="528B4B6A" w14:textId="77777777" w:rsidR="00504770" w:rsidRDefault="00F76BAE">
            <w:pPr>
              <w:rPr>
                <w:szCs w:val="20"/>
                <w:lang w:val="en-GB" w:eastAsia="en-GB"/>
              </w:rPr>
            </w:pPr>
            <w:r>
              <w:rPr>
                <w:szCs w:val="20"/>
                <w:lang w:val="en-GB" w:eastAsia="en-GB"/>
              </w:rPr>
              <w:t>15</w:t>
            </w:r>
          </w:p>
        </w:tc>
        <w:tc>
          <w:tcPr>
            <w:tcW w:w="677" w:type="dxa"/>
            <w:tcBorders>
              <w:top w:val="nil"/>
              <w:left w:val="nil"/>
              <w:bottom w:val="single" w:sz="4" w:space="0" w:color="auto"/>
              <w:right w:val="single" w:sz="4" w:space="0" w:color="auto"/>
            </w:tcBorders>
            <w:noWrap/>
            <w:vAlign w:val="bottom"/>
          </w:tcPr>
          <w:p w14:paraId="528B4B6B"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noWrap/>
            <w:vAlign w:val="bottom"/>
          </w:tcPr>
          <w:p w14:paraId="528B4B6C"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noWrap/>
            <w:vAlign w:val="bottom"/>
          </w:tcPr>
          <w:p w14:paraId="528B4B6D"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noWrap/>
            <w:vAlign w:val="bottom"/>
          </w:tcPr>
          <w:p w14:paraId="528B4B6E"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noWrap/>
            <w:vAlign w:val="bottom"/>
          </w:tcPr>
          <w:p w14:paraId="528B4B6F" w14:textId="77777777" w:rsidR="00504770" w:rsidRDefault="00F76BAE">
            <w:pPr>
              <w:rPr>
                <w:szCs w:val="20"/>
                <w:lang w:val="en-GB" w:eastAsia="en-GB"/>
              </w:rPr>
            </w:pPr>
            <w:r>
              <w:rPr>
                <w:szCs w:val="20"/>
                <w:lang w:val="en-GB" w:eastAsia="en-GB"/>
              </w:rPr>
              <w:t> </w:t>
            </w:r>
          </w:p>
        </w:tc>
      </w:tr>
      <w:tr w:rsidR="00504770" w14:paraId="528B4B79" w14:textId="77777777">
        <w:trPr>
          <w:trHeight w:val="420"/>
        </w:trPr>
        <w:tc>
          <w:tcPr>
            <w:tcW w:w="568" w:type="dxa"/>
            <w:tcBorders>
              <w:top w:val="nil"/>
              <w:left w:val="single" w:sz="4" w:space="0" w:color="auto"/>
              <w:bottom w:val="single" w:sz="4" w:space="0" w:color="auto"/>
              <w:right w:val="single" w:sz="4" w:space="0" w:color="auto"/>
            </w:tcBorders>
            <w:noWrap/>
            <w:vAlign w:val="center"/>
          </w:tcPr>
          <w:p w14:paraId="528B4B71" w14:textId="77777777" w:rsidR="00504770" w:rsidRDefault="00F76BAE">
            <w:pPr>
              <w:rPr>
                <w:szCs w:val="20"/>
                <w:lang w:val="en-GB" w:eastAsia="en-GB"/>
              </w:rPr>
            </w:pPr>
            <w:r>
              <w:rPr>
                <w:szCs w:val="20"/>
                <w:lang w:val="en-GB" w:eastAsia="en-GB"/>
              </w:rPr>
              <w:t>4</w:t>
            </w:r>
          </w:p>
        </w:tc>
        <w:tc>
          <w:tcPr>
            <w:tcW w:w="4361" w:type="dxa"/>
            <w:gridSpan w:val="4"/>
            <w:tcBorders>
              <w:top w:val="single" w:sz="4" w:space="0" w:color="auto"/>
              <w:left w:val="nil"/>
              <w:bottom w:val="single" w:sz="4" w:space="0" w:color="auto"/>
              <w:right w:val="single" w:sz="4" w:space="0" w:color="000000"/>
            </w:tcBorders>
            <w:noWrap/>
            <w:vAlign w:val="center"/>
          </w:tcPr>
          <w:p w14:paraId="528B4B72" w14:textId="77777777" w:rsidR="00504770" w:rsidRDefault="00F76BAE">
            <w:pPr>
              <w:rPr>
                <w:szCs w:val="20"/>
                <w:lang w:val="en-GB" w:eastAsia="en-GB"/>
              </w:rPr>
            </w:pPr>
            <w:r>
              <w:rPr>
                <w:szCs w:val="20"/>
                <w:lang w:val="en-GB" w:eastAsia="en-GB"/>
              </w:rPr>
              <w:t>Comprehension of the ToR and relevance of the methodology</w:t>
            </w:r>
          </w:p>
        </w:tc>
        <w:tc>
          <w:tcPr>
            <w:tcW w:w="1194" w:type="dxa"/>
            <w:gridSpan w:val="3"/>
            <w:tcBorders>
              <w:top w:val="nil"/>
              <w:left w:val="nil"/>
              <w:bottom w:val="single" w:sz="4" w:space="0" w:color="auto"/>
              <w:right w:val="single" w:sz="4" w:space="0" w:color="auto"/>
            </w:tcBorders>
            <w:noWrap/>
            <w:vAlign w:val="center"/>
          </w:tcPr>
          <w:p w14:paraId="528B4B73" w14:textId="77777777" w:rsidR="00504770" w:rsidRDefault="00F76BAE">
            <w:pPr>
              <w:rPr>
                <w:szCs w:val="20"/>
                <w:lang w:val="en-GB" w:eastAsia="en-GB"/>
              </w:rPr>
            </w:pPr>
            <w:r>
              <w:rPr>
                <w:szCs w:val="20"/>
                <w:lang w:val="en-GB" w:eastAsia="en-GB"/>
              </w:rPr>
              <w:t>30</w:t>
            </w:r>
          </w:p>
        </w:tc>
        <w:tc>
          <w:tcPr>
            <w:tcW w:w="677" w:type="dxa"/>
            <w:tcBorders>
              <w:top w:val="nil"/>
              <w:left w:val="nil"/>
              <w:bottom w:val="single" w:sz="4" w:space="0" w:color="auto"/>
              <w:right w:val="single" w:sz="4" w:space="0" w:color="auto"/>
            </w:tcBorders>
            <w:noWrap/>
            <w:vAlign w:val="bottom"/>
          </w:tcPr>
          <w:p w14:paraId="528B4B74"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noWrap/>
            <w:vAlign w:val="bottom"/>
          </w:tcPr>
          <w:p w14:paraId="528B4B75"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noWrap/>
            <w:vAlign w:val="bottom"/>
          </w:tcPr>
          <w:p w14:paraId="528B4B76"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noWrap/>
            <w:vAlign w:val="bottom"/>
          </w:tcPr>
          <w:p w14:paraId="528B4B77"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noWrap/>
            <w:vAlign w:val="bottom"/>
          </w:tcPr>
          <w:p w14:paraId="528B4B78" w14:textId="77777777" w:rsidR="00504770" w:rsidRDefault="00F76BAE">
            <w:pPr>
              <w:rPr>
                <w:szCs w:val="20"/>
                <w:lang w:val="en-GB" w:eastAsia="en-GB"/>
              </w:rPr>
            </w:pPr>
            <w:r>
              <w:rPr>
                <w:szCs w:val="20"/>
                <w:lang w:val="en-GB" w:eastAsia="en-GB"/>
              </w:rPr>
              <w:t> </w:t>
            </w:r>
          </w:p>
        </w:tc>
      </w:tr>
      <w:tr w:rsidR="00504770" w14:paraId="528B4B82" w14:textId="77777777">
        <w:trPr>
          <w:trHeight w:val="420"/>
        </w:trPr>
        <w:tc>
          <w:tcPr>
            <w:tcW w:w="568" w:type="dxa"/>
            <w:tcBorders>
              <w:top w:val="nil"/>
              <w:left w:val="single" w:sz="4" w:space="0" w:color="auto"/>
              <w:bottom w:val="single" w:sz="4" w:space="0" w:color="auto"/>
              <w:right w:val="single" w:sz="4" w:space="0" w:color="auto"/>
            </w:tcBorders>
            <w:noWrap/>
            <w:vAlign w:val="center"/>
          </w:tcPr>
          <w:p w14:paraId="528B4B7A" w14:textId="77777777" w:rsidR="00504770" w:rsidRDefault="00F76BAE">
            <w:pPr>
              <w:rPr>
                <w:szCs w:val="20"/>
                <w:lang w:val="en-GB" w:eastAsia="en-GB"/>
              </w:rPr>
            </w:pPr>
            <w:r>
              <w:rPr>
                <w:szCs w:val="20"/>
                <w:lang w:val="en-GB" w:eastAsia="en-GB"/>
              </w:rPr>
              <w:t>5</w:t>
            </w:r>
          </w:p>
        </w:tc>
        <w:tc>
          <w:tcPr>
            <w:tcW w:w="4361" w:type="dxa"/>
            <w:gridSpan w:val="4"/>
            <w:tcBorders>
              <w:top w:val="single" w:sz="4" w:space="0" w:color="auto"/>
              <w:left w:val="nil"/>
              <w:bottom w:val="single" w:sz="4" w:space="0" w:color="auto"/>
              <w:right w:val="single" w:sz="4" w:space="0" w:color="000000"/>
            </w:tcBorders>
            <w:noWrap/>
            <w:vAlign w:val="center"/>
          </w:tcPr>
          <w:p w14:paraId="528B4B7B" w14:textId="77777777" w:rsidR="00504770" w:rsidRDefault="00F76BAE">
            <w:pPr>
              <w:rPr>
                <w:szCs w:val="20"/>
                <w:lang w:val="en-GB" w:eastAsia="en-GB"/>
              </w:rPr>
            </w:pPr>
            <w:r>
              <w:rPr>
                <w:szCs w:val="20"/>
                <w:lang w:val="en-GB" w:eastAsia="en-GB"/>
              </w:rPr>
              <w:t>Mastery of languages</w:t>
            </w:r>
          </w:p>
        </w:tc>
        <w:tc>
          <w:tcPr>
            <w:tcW w:w="1194" w:type="dxa"/>
            <w:gridSpan w:val="3"/>
            <w:tcBorders>
              <w:top w:val="nil"/>
              <w:left w:val="nil"/>
              <w:bottom w:val="single" w:sz="4" w:space="0" w:color="auto"/>
              <w:right w:val="single" w:sz="4" w:space="0" w:color="auto"/>
            </w:tcBorders>
            <w:noWrap/>
            <w:vAlign w:val="center"/>
          </w:tcPr>
          <w:p w14:paraId="528B4B7C" w14:textId="77777777" w:rsidR="00504770" w:rsidRDefault="00F76BAE">
            <w:pPr>
              <w:rPr>
                <w:szCs w:val="20"/>
                <w:lang w:val="en-GB" w:eastAsia="en-GB"/>
              </w:rPr>
            </w:pPr>
            <w:r>
              <w:rPr>
                <w:szCs w:val="20"/>
                <w:lang w:val="en-GB" w:eastAsia="en-GB"/>
              </w:rPr>
              <w:t>5</w:t>
            </w:r>
          </w:p>
        </w:tc>
        <w:tc>
          <w:tcPr>
            <w:tcW w:w="677" w:type="dxa"/>
            <w:tcBorders>
              <w:top w:val="nil"/>
              <w:left w:val="nil"/>
              <w:bottom w:val="single" w:sz="4" w:space="0" w:color="auto"/>
              <w:right w:val="single" w:sz="4" w:space="0" w:color="auto"/>
            </w:tcBorders>
            <w:noWrap/>
            <w:vAlign w:val="bottom"/>
          </w:tcPr>
          <w:p w14:paraId="528B4B7D"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noWrap/>
            <w:vAlign w:val="bottom"/>
          </w:tcPr>
          <w:p w14:paraId="528B4B7E"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noWrap/>
            <w:vAlign w:val="bottom"/>
          </w:tcPr>
          <w:p w14:paraId="528B4B7F"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noWrap/>
            <w:vAlign w:val="bottom"/>
          </w:tcPr>
          <w:p w14:paraId="528B4B80"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noWrap/>
            <w:vAlign w:val="bottom"/>
          </w:tcPr>
          <w:p w14:paraId="528B4B81" w14:textId="77777777" w:rsidR="00504770" w:rsidRDefault="00F76BAE">
            <w:pPr>
              <w:rPr>
                <w:szCs w:val="20"/>
                <w:lang w:val="en-GB" w:eastAsia="en-GB"/>
              </w:rPr>
            </w:pPr>
            <w:r>
              <w:rPr>
                <w:szCs w:val="20"/>
                <w:lang w:val="en-GB" w:eastAsia="en-GB"/>
              </w:rPr>
              <w:t> </w:t>
            </w:r>
          </w:p>
        </w:tc>
      </w:tr>
      <w:tr w:rsidR="00504770" w14:paraId="528B4B8B" w14:textId="77777777">
        <w:trPr>
          <w:trHeight w:val="420"/>
        </w:trPr>
        <w:tc>
          <w:tcPr>
            <w:tcW w:w="568" w:type="dxa"/>
            <w:tcBorders>
              <w:top w:val="nil"/>
              <w:left w:val="single" w:sz="4" w:space="0" w:color="auto"/>
              <w:bottom w:val="single" w:sz="4" w:space="0" w:color="auto"/>
              <w:right w:val="single" w:sz="4" w:space="0" w:color="auto"/>
            </w:tcBorders>
            <w:noWrap/>
            <w:vAlign w:val="bottom"/>
          </w:tcPr>
          <w:p w14:paraId="528B4B83" w14:textId="77777777" w:rsidR="00504770" w:rsidRDefault="00F76BAE">
            <w:pPr>
              <w:rPr>
                <w:szCs w:val="20"/>
                <w:lang w:val="en-GB" w:eastAsia="en-GB"/>
              </w:rPr>
            </w:pPr>
            <w:r>
              <w:rPr>
                <w:szCs w:val="20"/>
                <w:lang w:val="en-GB" w:eastAsia="en-GB"/>
              </w:rPr>
              <w:t> </w:t>
            </w:r>
          </w:p>
        </w:tc>
        <w:tc>
          <w:tcPr>
            <w:tcW w:w="4361" w:type="dxa"/>
            <w:gridSpan w:val="4"/>
            <w:tcBorders>
              <w:top w:val="single" w:sz="4" w:space="0" w:color="auto"/>
              <w:left w:val="nil"/>
              <w:bottom w:val="single" w:sz="4" w:space="0" w:color="auto"/>
              <w:right w:val="single" w:sz="4" w:space="0" w:color="000000"/>
            </w:tcBorders>
            <w:noWrap/>
            <w:vAlign w:val="bottom"/>
          </w:tcPr>
          <w:p w14:paraId="528B4B84" w14:textId="77777777" w:rsidR="00504770" w:rsidRDefault="00F76BAE">
            <w:pPr>
              <w:rPr>
                <w:szCs w:val="20"/>
                <w:lang w:val="en-GB" w:eastAsia="en-GB"/>
              </w:rPr>
            </w:pPr>
            <w:r>
              <w:rPr>
                <w:szCs w:val="20"/>
                <w:lang w:val="en-GB" w:eastAsia="en-GB"/>
              </w:rPr>
              <w:t>TOTAL technical evaluation</w:t>
            </w:r>
          </w:p>
        </w:tc>
        <w:tc>
          <w:tcPr>
            <w:tcW w:w="1194" w:type="dxa"/>
            <w:gridSpan w:val="3"/>
            <w:tcBorders>
              <w:top w:val="nil"/>
              <w:left w:val="nil"/>
              <w:bottom w:val="single" w:sz="4" w:space="0" w:color="auto"/>
              <w:right w:val="single" w:sz="4" w:space="0" w:color="auto"/>
            </w:tcBorders>
            <w:noWrap/>
            <w:vAlign w:val="center"/>
          </w:tcPr>
          <w:p w14:paraId="528B4B85" w14:textId="77777777" w:rsidR="00504770" w:rsidRDefault="00F76BAE">
            <w:pPr>
              <w:rPr>
                <w:b/>
                <w:bCs/>
                <w:szCs w:val="20"/>
                <w:lang w:val="en-GB" w:eastAsia="en-GB"/>
              </w:rPr>
            </w:pPr>
            <w:r>
              <w:rPr>
                <w:b/>
                <w:bCs/>
                <w:szCs w:val="20"/>
                <w:lang w:val="en-GB" w:eastAsia="en-GB"/>
              </w:rPr>
              <w:t>70</w:t>
            </w:r>
          </w:p>
        </w:tc>
        <w:tc>
          <w:tcPr>
            <w:tcW w:w="677" w:type="dxa"/>
            <w:tcBorders>
              <w:top w:val="nil"/>
              <w:left w:val="nil"/>
              <w:bottom w:val="single" w:sz="4" w:space="0" w:color="auto"/>
              <w:right w:val="single" w:sz="4" w:space="0" w:color="auto"/>
            </w:tcBorders>
            <w:shd w:val="clear" w:color="000000" w:fill="BFBFBF"/>
            <w:noWrap/>
            <w:vAlign w:val="bottom"/>
          </w:tcPr>
          <w:p w14:paraId="528B4B86"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shd w:val="clear" w:color="000000" w:fill="BFBFBF"/>
            <w:noWrap/>
            <w:vAlign w:val="bottom"/>
          </w:tcPr>
          <w:p w14:paraId="528B4B87"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shd w:val="clear" w:color="000000" w:fill="BFBFBF"/>
            <w:noWrap/>
            <w:vAlign w:val="bottom"/>
          </w:tcPr>
          <w:p w14:paraId="528B4B88"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shd w:val="clear" w:color="000000" w:fill="BFBFBF"/>
            <w:noWrap/>
            <w:vAlign w:val="bottom"/>
          </w:tcPr>
          <w:p w14:paraId="528B4B89"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shd w:val="clear" w:color="000000" w:fill="BFBFBF"/>
            <w:noWrap/>
            <w:vAlign w:val="bottom"/>
          </w:tcPr>
          <w:p w14:paraId="528B4B8A" w14:textId="77777777" w:rsidR="00504770" w:rsidRDefault="00F76BAE">
            <w:pPr>
              <w:rPr>
                <w:szCs w:val="20"/>
                <w:lang w:val="en-GB" w:eastAsia="en-GB"/>
              </w:rPr>
            </w:pPr>
            <w:r>
              <w:rPr>
                <w:szCs w:val="20"/>
                <w:lang w:val="en-GB" w:eastAsia="en-GB"/>
              </w:rPr>
              <w:t> </w:t>
            </w:r>
          </w:p>
        </w:tc>
      </w:tr>
      <w:tr w:rsidR="00504770" w14:paraId="528B4B94" w14:textId="77777777">
        <w:trPr>
          <w:trHeight w:val="420"/>
        </w:trPr>
        <w:tc>
          <w:tcPr>
            <w:tcW w:w="568" w:type="dxa"/>
            <w:tcBorders>
              <w:top w:val="nil"/>
              <w:left w:val="single" w:sz="4" w:space="0" w:color="auto"/>
              <w:bottom w:val="single" w:sz="4" w:space="0" w:color="auto"/>
              <w:right w:val="single" w:sz="4" w:space="0" w:color="auto"/>
            </w:tcBorders>
            <w:noWrap/>
            <w:vAlign w:val="bottom"/>
          </w:tcPr>
          <w:p w14:paraId="528B4B8C" w14:textId="77777777" w:rsidR="00504770" w:rsidRDefault="00F76BAE">
            <w:pPr>
              <w:rPr>
                <w:szCs w:val="20"/>
                <w:lang w:val="en-GB" w:eastAsia="en-GB"/>
              </w:rPr>
            </w:pPr>
            <w:r>
              <w:rPr>
                <w:szCs w:val="20"/>
                <w:lang w:val="en-GB" w:eastAsia="en-GB"/>
              </w:rPr>
              <w:t> </w:t>
            </w:r>
          </w:p>
        </w:tc>
        <w:tc>
          <w:tcPr>
            <w:tcW w:w="4361" w:type="dxa"/>
            <w:gridSpan w:val="4"/>
            <w:tcBorders>
              <w:top w:val="single" w:sz="4" w:space="0" w:color="auto"/>
              <w:left w:val="nil"/>
              <w:bottom w:val="single" w:sz="4" w:space="0" w:color="auto"/>
              <w:right w:val="single" w:sz="4" w:space="0" w:color="000000"/>
            </w:tcBorders>
            <w:noWrap/>
            <w:vAlign w:val="bottom"/>
          </w:tcPr>
          <w:p w14:paraId="528B4B8D" w14:textId="77777777" w:rsidR="00504770" w:rsidRDefault="00F76BAE">
            <w:pPr>
              <w:rPr>
                <w:szCs w:val="20"/>
                <w:lang w:val="en-GB" w:eastAsia="en-GB"/>
              </w:rPr>
            </w:pPr>
            <w:r>
              <w:rPr>
                <w:szCs w:val="20"/>
                <w:lang w:val="en-GB" w:eastAsia="en-GB"/>
              </w:rPr>
              <w:t>Relative weighting</w:t>
            </w:r>
          </w:p>
        </w:tc>
        <w:tc>
          <w:tcPr>
            <w:tcW w:w="1194" w:type="dxa"/>
            <w:gridSpan w:val="3"/>
            <w:tcBorders>
              <w:top w:val="nil"/>
              <w:left w:val="nil"/>
              <w:bottom w:val="single" w:sz="4" w:space="0" w:color="auto"/>
              <w:right w:val="single" w:sz="4" w:space="0" w:color="auto"/>
            </w:tcBorders>
            <w:noWrap/>
            <w:vAlign w:val="center"/>
          </w:tcPr>
          <w:p w14:paraId="528B4B8E" w14:textId="77777777" w:rsidR="00504770" w:rsidRDefault="00F76BAE">
            <w:pPr>
              <w:rPr>
                <w:b/>
                <w:bCs/>
                <w:szCs w:val="20"/>
                <w:lang w:val="en-GB" w:eastAsia="en-GB"/>
              </w:rPr>
            </w:pPr>
            <w:r>
              <w:rPr>
                <w:b/>
                <w:bCs/>
                <w:szCs w:val="20"/>
                <w:lang w:val="en-GB" w:eastAsia="en-GB"/>
              </w:rPr>
              <w:t>70%</w:t>
            </w:r>
          </w:p>
        </w:tc>
        <w:tc>
          <w:tcPr>
            <w:tcW w:w="677" w:type="dxa"/>
            <w:tcBorders>
              <w:top w:val="nil"/>
              <w:left w:val="nil"/>
              <w:bottom w:val="single" w:sz="4" w:space="0" w:color="auto"/>
              <w:right w:val="single" w:sz="4" w:space="0" w:color="auto"/>
            </w:tcBorders>
            <w:shd w:val="clear" w:color="000000" w:fill="BFBFBF"/>
            <w:noWrap/>
            <w:vAlign w:val="bottom"/>
          </w:tcPr>
          <w:p w14:paraId="528B4B8F" w14:textId="77777777" w:rsidR="00504770" w:rsidRDefault="00F76BAE">
            <w:pPr>
              <w:rPr>
                <w:szCs w:val="20"/>
                <w:lang w:val="en-GB" w:eastAsia="en-GB"/>
              </w:rPr>
            </w:pPr>
            <w:r>
              <w:rPr>
                <w:szCs w:val="20"/>
                <w:lang w:val="en-GB" w:eastAsia="en-GB"/>
              </w:rPr>
              <w:t> </w:t>
            </w:r>
          </w:p>
        </w:tc>
        <w:tc>
          <w:tcPr>
            <w:tcW w:w="592" w:type="dxa"/>
            <w:tcBorders>
              <w:top w:val="nil"/>
              <w:left w:val="nil"/>
              <w:bottom w:val="single" w:sz="4" w:space="0" w:color="auto"/>
              <w:right w:val="single" w:sz="4" w:space="0" w:color="auto"/>
            </w:tcBorders>
            <w:shd w:val="clear" w:color="000000" w:fill="BFBFBF"/>
            <w:noWrap/>
            <w:vAlign w:val="bottom"/>
          </w:tcPr>
          <w:p w14:paraId="528B4B90" w14:textId="77777777" w:rsidR="00504770" w:rsidRDefault="00F76BAE">
            <w:pPr>
              <w:rPr>
                <w:szCs w:val="20"/>
                <w:lang w:val="en-GB" w:eastAsia="en-GB"/>
              </w:rPr>
            </w:pPr>
            <w:r>
              <w:rPr>
                <w:szCs w:val="20"/>
                <w:lang w:val="en-GB" w:eastAsia="en-GB"/>
              </w:rPr>
              <w:t> </w:t>
            </w:r>
          </w:p>
        </w:tc>
        <w:tc>
          <w:tcPr>
            <w:tcW w:w="541" w:type="dxa"/>
            <w:tcBorders>
              <w:top w:val="nil"/>
              <w:left w:val="nil"/>
              <w:bottom w:val="single" w:sz="4" w:space="0" w:color="auto"/>
              <w:right w:val="single" w:sz="4" w:space="0" w:color="auto"/>
            </w:tcBorders>
            <w:shd w:val="clear" w:color="000000" w:fill="BFBFBF"/>
            <w:noWrap/>
            <w:vAlign w:val="bottom"/>
          </w:tcPr>
          <w:p w14:paraId="528B4B91" w14:textId="77777777" w:rsidR="00504770" w:rsidRDefault="00F76BAE">
            <w:pPr>
              <w:rPr>
                <w:szCs w:val="20"/>
                <w:lang w:val="en-GB" w:eastAsia="en-GB"/>
              </w:rPr>
            </w:pPr>
            <w:r>
              <w:rPr>
                <w:szCs w:val="20"/>
                <w:lang w:val="en-GB" w:eastAsia="en-GB"/>
              </w:rPr>
              <w:t> </w:t>
            </w:r>
          </w:p>
        </w:tc>
        <w:tc>
          <w:tcPr>
            <w:tcW w:w="749" w:type="dxa"/>
            <w:tcBorders>
              <w:top w:val="nil"/>
              <w:left w:val="nil"/>
              <w:bottom w:val="single" w:sz="4" w:space="0" w:color="auto"/>
              <w:right w:val="single" w:sz="4" w:space="0" w:color="auto"/>
            </w:tcBorders>
            <w:shd w:val="clear" w:color="000000" w:fill="BFBFBF"/>
            <w:noWrap/>
            <w:vAlign w:val="bottom"/>
          </w:tcPr>
          <w:p w14:paraId="528B4B92"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single" w:sz="4" w:space="0" w:color="auto"/>
              <w:right w:val="single" w:sz="4" w:space="0" w:color="auto"/>
            </w:tcBorders>
            <w:shd w:val="clear" w:color="000000" w:fill="BFBFBF"/>
            <w:noWrap/>
            <w:vAlign w:val="bottom"/>
          </w:tcPr>
          <w:p w14:paraId="528B4B93" w14:textId="77777777" w:rsidR="00504770" w:rsidRDefault="00F76BAE">
            <w:pPr>
              <w:rPr>
                <w:szCs w:val="20"/>
                <w:lang w:val="en-GB" w:eastAsia="en-GB"/>
              </w:rPr>
            </w:pPr>
            <w:r>
              <w:rPr>
                <w:szCs w:val="20"/>
                <w:lang w:val="en-GB" w:eastAsia="en-GB"/>
              </w:rPr>
              <w:t> </w:t>
            </w:r>
          </w:p>
        </w:tc>
      </w:tr>
      <w:tr w:rsidR="00504770" w14:paraId="528B4BA1" w14:textId="77777777">
        <w:trPr>
          <w:trHeight w:val="420"/>
        </w:trPr>
        <w:tc>
          <w:tcPr>
            <w:tcW w:w="568" w:type="dxa"/>
            <w:tcBorders>
              <w:top w:val="nil"/>
              <w:left w:val="nil"/>
              <w:bottom w:val="nil"/>
              <w:right w:val="nil"/>
            </w:tcBorders>
            <w:noWrap/>
            <w:vAlign w:val="bottom"/>
          </w:tcPr>
          <w:p w14:paraId="528B4B95" w14:textId="77777777" w:rsidR="00504770" w:rsidRDefault="00504770">
            <w:pPr>
              <w:rPr>
                <w:rFonts w:ascii="Calibri" w:hAnsi="Calibri"/>
                <w:szCs w:val="20"/>
                <w:lang w:val="en-GB" w:eastAsia="en-GB"/>
              </w:rPr>
            </w:pPr>
          </w:p>
        </w:tc>
        <w:tc>
          <w:tcPr>
            <w:tcW w:w="484" w:type="dxa"/>
            <w:tcBorders>
              <w:top w:val="nil"/>
              <w:left w:val="nil"/>
              <w:bottom w:val="nil"/>
              <w:right w:val="nil"/>
            </w:tcBorders>
            <w:noWrap/>
            <w:vAlign w:val="bottom"/>
          </w:tcPr>
          <w:p w14:paraId="528B4B96" w14:textId="77777777" w:rsidR="00504770" w:rsidRDefault="00504770">
            <w:pPr>
              <w:rPr>
                <w:rFonts w:ascii="Calibri" w:hAnsi="Calibri"/>
                <w:szCs w:val="20"/>
                <w:lang w:val="en-GB" w:eastAsia="en-GB"/>
              </w:rPr>
            </w:pPr>
          </w:p>
        </w:tc>
        <w:tc>
          <w:tcPr>
            <w:tcW w:w="1437" w:type="dxa"/>
            <w:tcBorders>
              <w:top w:val="nil"/>
              <w:left w:val="nil"/>
              <w:bottom w:val="nil"/>
              <w:right w:val="nil"/>
            </w:tcBorders>
            <w:noWrap/>
            <w:vAlign w:val="bottom"/>
          </w:tcPr>
          <w:p w14:paraId="528B4B97" w14:textId="77777777" w:rsidR="00504770" w:rsidRDefault="00504770">
            <w:pPr>
              <w:rPr>
                <w:rFonts w:ascii="Calibri" w:hAnsi="Calibri"/>
                <w:szCs w:val="20"/>
                <w:lang w:val="en-GB" w:eastAsia="en-GB"/>
              </w:rPr>
            </w:pPr>
          </w:p>
        </w:tc>
        <w:tc>
          <w:tcPr>
            <w:tcW w:w="1437" w:type="dxa"/>
            <w:tcBorders>
              <w:top w:val="nil"/>
              <w:left w:val="nil"/>
              <w:bottom w:val="nil"/>
              <w:right w:val="nil"/>
            </w:tcBorders>
            <w:noWrap/>
            <w:vAlign w:val="bottom"/>
          </w:tcPr>
          <w:p w14:paraId="528B4B98" w14:textId="77777777" w:rsidR="00504770" w:rsidRDefault="00504770">
            <w:pPr>
              <w:rPr>
                <w:rFonts w:ascii="Calibri" w:hAnsi="Calibri"/>
                <w:szCs w:val="20"/>
                <w:lang w:val="en-GB" w:eastAsia="en-GB"/>
              </w:rPr>
            </w:pPr>
          </w:p>
        </w:tc>
        <w:tc>
          <w:tcPr>
            <w:tcW w:w="1100" w:type="dxa"/>
            <w:gridSpan w:val="2"/>
            <w:tcBorders>
              <w:top w:val="nil"/>
              <w:left w:val="nil"/>
              <w:bottom w:val="nil"/>
              <w:right w:val="nil"/>
            </w:tcBorders>
            <w:noWrap/>
            <w:vAlign w:val="bottom"/>
          </w:tcPr>
          <w:p w14:paraId="528B4B99" w14:textId="77777777" w:rsidR="00504770" w:rsidRDefault="00504770">
            <w:pPr>
              <w:rPr>
                <w:rFonts w:ascii="Calibri" w:hAnsi="Calibri"/>
                <w:szCs w:val="20"/>
                <w:lang w:val="en-GB" w:eastAsia="en-GB"/>
              </w:rPr>
            </w:pPr>
          </w:p>
        </w:tc>
        <w:tc>
          <w:tcPr>
            <w:tcW w:w="529" w:type="dxa"/>
            <w:tcBorders>
              <w:top w:val="nil"/>
              <w:left w:val="nil"/>
              <w:bottom w:val="nil"/>
              <w:right w:val="nil"/>
            </w:tcBorders>
            <w:noWrap/>
            <w:vAlign w:val="bottom"/>
          </w:tcPr>
          <w:p w14:paraId="528B4B9A" w14:textId="77777777" w:rsidR="00504770" w:rsidRDefault="00504770">
            <w:pPr>
              <w:rPr>
                <w:rFonts w:ascii="Calibri" w:hAnsi="Calibri"/>
                <w:szCs w:val="20"/>
                <w:lang w:val="en-GB" w:eastAsia="en-GB"/>
              </w:rPr>
            </w:pPr>
          </w:p>
        </w:tc>
        <w:tc>
          <w:tcPr>
            <w:tcW w:w="568" w:type="dxa"/>
            <w:tcBorders>
              <w:top w:val="nil"/>
              <w:left w:val="nil"/>
              <w:bottom w:val="nil"/>
              <w:right w:val="nil"/>
            </w:tcBorders>
            <w:noWrap/>
            <w:vAlign w:val="bottom"/>
          </w:tcPr>
          <w:p w14:paraId="528B4B9B" w14:textId="77777777" w:rsidR="00504770" w:rsidRDefault="00504770">
            <w:pPr>
              <w:rPr>
                <w:rFonts w:ascii="Calibri" w:hAnsi="Calibri"/>
                <w:szCs w:val="20"/>
                <w:lang w:val="en-GB" w:eastAsia="en-GB"/>
              </w:rPr>
            </w:pPr>
          </w:p>
        </w:tc>
        <w:tc>
          <w:tcPr>
            <w:tcW w:w="677" w:type="dxa"/>
            <w:tcBorders>
              <w:top w:val="nil"/>
              <w:left w:val="single" w:sz="4" w:space="0" w:color="auto"/>
              <w:bottom w:val="single" w:sz="4" w:space="0" w:color="auto"/>
              <w:right w:val="single" w:sz="4" w:space="0" w:color="auto"/>
            </w:tcBorders>
            <w:shd w:val="clear" w:color="000000" w:fill="FFFF00"/>
            <w:noWrap/>
            <w:vAlign w:val="center"/>
          </w:tcPr>
          <w:p w14:paraId="528B4B9C" w14:textId="77777777" w:rsidR="00504770" w:rsidRDefault="00F76BAE">
            <w:pPr>
              <w:pStyle w:val="Sansinterligne"/>
              <w:rPr>
                <w:rFonts w:ascii="Verdana" w:hAnsi="Verdana"/>
                <w:b/>
                <w:lang w:val="en-GB" w:eastAsia="en-GB"/>
              </w:rPr>
            </w:pPr>
            <w:r>
              <w:rPr>
                <w:rFonts w:ascii="Verdana" w:hAnsi="Verdana"/>
                <w:b/>
                <w:lang w:val="en-GB" w:eastAsia="en-GB"/>
              </w:rPr>
              <w:t>100</w:t>
            </w:r>
          </w:p>
        </w:tc>
        <w:tc>
          <w:tcPr>
            <w:tcW w:w="592" w:type="dxa"/>
            <w:tcBorders>
              <w:top w:val="nil"/>
              <w:left w:val="nil"/>
              <w:bottom w:val="single" w:sz="4" w:space="0" w:color="auto"/>
              <w:right w:val="single" w:sz="4" w:space="0" w:color="auto"/>
            </w:tcBorders>
            <w:shd w:val="clear" w:color="000000" w:fill="FFFF00"/>
            <w:noWrap/>
            <w:vAlign w:val="bottom"/>
          </w:tcPr>
          <w:p w14:paraId="528B4B9D" w14:textId="77777777" w:rsidR="00504770" w:rsidRDefault="00504770">
            <w:pPr>
              <w:rPr>
                <w:rFonts w:ascii="Calibri" w:hAnsi="Calibri"/>
                <w:szCs w:val="20"/>
                <w:lang w:val="en-GB" w:eastAsia="en-GB"/>
              </w:rPr>
            </w:pPr>
          </w:p>
        </w:tc>
        <w:tc>
          <w:tcPr>
            <w:tcW w:w="541" w:type="dxa"/>
            <w:tcBorders>
              <w:top w:val="nil"/>
              <w:left w:val="nil"/>
              <w:bottom w:val="single" w:sz="4" w:space="0" w:color="auto"/>
              <w:right w:val="single" w:sz="4" w:space="0" w:color="auto"/>
            </w:tcBorders>
            <w:shd w:val="clear" w:color="000000" w:fill="FFFF00"/>
            <w:noWrap/>
            <w:vAlign w:val="bottom"/>
          </w:tcPr>
          <w:p w14:paraId="528B4B9E" w14:textId="77777777" w:rsidR="00504770" w:rsidRDefault="00504770">
            <w:pPr>
              <w:rPr>
                <w:rFonts w:ascii="Calibri" w:hAnsi="Calibri"/>
                <w:szCs w:val="20"/>
                <w:lang w:val="en-GB" w:eastAsia="en-GB"/>
              </w:rPr>
            </w:pPr>
          </w:p>
        </w:tc>
        <w:tc>
          <w:tcPr>
            <w:tcW w:w="749" w:type="dxa"/>
            <w:tcBorders>
              <w:top w:val="nil"/>
              <w:left w:val="nil"/>
              <w:bottom w:val="single" w:sz="4" w:space="0" w:color="auto"/>
              <w:right w:val="single" w:sz="4" w:space="0" w:color="auto"/>
            </w:tcBorders>
            <w:shd w:val="clear" w:color="000000" w:fill="FFFF00"/>
            <w:noWrap/>
            <w:vAlign w:val="bottom"/>
          </w:tcPr>
          <w:p w14:paraId="528B4B9F" w14:textId="77777777" w:rsidR="00504770" w:rsidRDefault="00504770">
            <w:pPr>
              <w:rPr>
                <w:rFonts w:ascii="Calibri" w:hAnsi="Calibri"/>
                <w:szCs w:val="20"/>
                <w:lang w:val="en-GB" w:eastAsia="en-GB"/>
              </w:rPr>
            </w:pPr>
          </w:p>
        </w:tc>
        <w:tc>
          <w:tcPr>
            <w:tcW w:w="697" w:type="dxa"/>
            <w:gridSpan w:val="2"/>
            <w:tcBorders>
              <w:top w:val="nil"/>
              <w:left w:val="nil"/>
              <w:bottom w:val="single" w:sz="4" w:space="0" w:color="auto"/>
              <w:right w:val="single" w:sz="4" w:space="0" w:color="auto"/>
            </w:tcBorders>
            <w:shd w:val="clear" w:color="000000" w:fill="FFFF00"/>
            <w:noWrap/>
            <w:vAlign w:val="bottom"/>
          </w:tcPr>
          <w:p w14:paraId="528B4BA0" w14:textId="77777777" w:rsidR="00504770" w:rsidRDefault="00504770">
            <w:pPr>
              <w:rPr>
                <w:rFonts w:ascii="Calibri" w:hAnsi="Calibri"/>
                <w:szCs w:val="20"/>
                <w:lang w:val="en-GB" w:eastAsia="en-GB"/>
              </w:rPr>
            </w:pPr>
          </w:p>
        </w:tc>
      </w:tr>
      <w:tr w:rsidR="00504770" w:rsidRPr="00B44DAD" w14:paraId="528B4BA3" w14:textId="77777777">
        <w:trPr>
          <w:trHeight w:val="300"/>
        </w:trPr>
        <w:tc>
          <w:tcPr>
            <w:tcW w:w="9379" w:type="dxa"/>
            <w:gridSpan w:val="14"/>
            <w:tcBorders>
              <w:top w:val="single" w:sz="4" w:space="0" w:color="auto"/>
              <w:left w:val="single" w:sz="4" w:space="0" w:color="auto"/>
              <w:bottom w:val="nil"/>
              <w:right w:val="single" w:sz="4" w:space="0" w:color="auto"/>
            </w:tcBorders>
            <w:shd w:val="clear" w:color="000000" w:fill="D9D9D9"/>
            <w:noWrap/>
            <w:vAlign w:val="bottom"/>
          </w:tcPr>
          <w:p w14:paraId="528B4BA2" w14:textId="77777777" w:rsidR="00504770" w:rsidRDefault="00F76BAE">
            <w:pPr>
              <w:rPr>
                <w:szCs w:val="20"/>
                <w:lang w:val="en-GB" w:eastAsia="en-GB"/>
              </w:rPr>
            </w:pPr>
            <w:r>
              <w:rPr>
                <w:szCs w:val="20"/>
                <w:lang w:val="en-GB" w:eastAsia="en-GB"/>
              </w:rPr>
              <w:t>The minimum score for the technical qualification is 50 points out of 70. The combined method (70% for the technical offer and 30% for the financial offer) will be selected for the final selection.</w:t>
            </w:r>
          </w:p>
        </w:tc>
      </w:tr>
      <w:tr w:rsidR="00504770" w:rsidRPr="00B44DAD" w14:paraId="528B4BA5" w14:textId="77777777">
        <w:trPr>
          <w:trHeight w:val="300"/>
        </w:trPr>
        <w:tc>
          <w:tcPr>
            <w:tcW w:w="9379" w:type="dxa"/>
            <w:gridSpan w:val="14"/>
            <w:tcBorders>
              <w:top w:val="nil"/>
              <w:left w:val="single" w:sz="4" w:space="0" w:color="auto"/>
              <w:bottom w:val="nil"/>
              <w:right w:val="single" w:sz="4" w:space="0" w:color="auto"/>
            </w:tcBorders>
            <w:shd w:val="clear" w:color="000000" w:fill="D9D9D9"/>
            <w:noWrap/>
            <w:vAlign w:val="bottom"/>
          </w:tcPr>
          <w:p w14:paraId="528B4BA4" w14:textId="7D5C8688" w:rsidR="00504770" w:rsidRDefault="00F76BAE">
            <w:pPr>
              <w:rPr>
                <w:lang w:val="en-GB" w:eastAsia="en-GB"/>
              </w:rPr>
            </w:pPr>
            <w:r>
              <w:rPr>
                <w:lang w:val="en-GB" w:eastAsia="en-GB"/>
              </w:rPr>
              <w:t>Financial Rating: The formula used to determine the financial score is: FS = 100 x Fm / F</w:t>
            </w:r>
            <w:r w:rsidR="003212F4">
              <w:rPr>
                <w:lang w:val="en-GB" w:eastAsia="en-GB"/>
              </w:rPr>
              <w:t>.</w:t>
            </w:r>
          </w:p>
        </w:tc>
      </w:tr>
      <w:tr w:rsidR="00504770" w:rsidRPr="00B44DAD" w14:paraId="528B4BAA" w14:textId="77777777">
        <w:trPr>
          <w:trHeight w:val="300"/>
        </w:trPr>
        <w:tc>
          <w:tcPr>
            <w:tcW w:w="7392" w:type="dxa"/>
            <w:gridSpan w:val="10"/>
            <w:tcBorders>
              <w:top w:val="nil"/>
              <w:left w:val="single" w:sz="4" w:space="0" w:color="auto"/>
              <w:bottom w:val="nil"/>
              <w:right w:val="nil"/>
            </w:tcBorders>
            <w:shd w:val="clear" w:color="000000" w:fill="D9D9D9"/>
            <w:noWrap/>
            <w:vAlign w:val="bottom"/>
          </w:tcPr>
          <w:p w14:paraId="528B4BA6" w14:textId="77777777" w:rsidR="00504770" w:rsidRDefault="00F76BAE">
            <w:pPr>
              <w:rPr>
                <w:szCs w:val="20"/>
                <w:lang w:val="en-GB" w:eastAsia="en-GB"/>
              </w:rPr>
            </w:pPr>
            <w:r>
              <w:rPr>
                <w:szCs w:val="20"/>
                <w:lang w:val="en-GB" w:eastAsia="en-GB"/>
              </w:rPr>
              <w:t>Fm is the lowest bid and F is the price of the considered bid.</w:t>
            </w:r>
          </w:p>
        </w:tc>
        <w:tc>
          <w:tcPr>
            <w:tcW w:w="541" w:type="dxa"/>
            <w:tcBorders>
              <w:top w:val="nil"/>
              <w:left w:val="nil"/>
              <w:bottom w:val="nil"/>
              <w:right w:val="nil"/>
            </w:tcBorders>
            <w:shd w:val="clear" w:color="000000" w:fill="D9D9D9"/>
            <w:noWrap/>
            <w:vAlign w:val="bottom"/>
          </w:tcPr>
          <w:p w14:paraId="528B4BA7" w14:textId="77777777" w:rsidR="00504770" w:rsidRDefault="00F76BAE">
            <w:pPr>
              <w:rPr>
                <w:szCs w:val="20"/>
                <w:lang w:val="en-GB" w:eastAsia="en-GB"/>
              </w:rPr>
            </w:pPr>
            <w:r>
              <w:rPr>
                <w:szCs w:val="20"/>
                <w:lang w:val="en-GB" w:eastAsia="en-GB"/>
              </w:rPr>
              <w:t> </w:t>
            </w:r>
          </w:p>
        </w:tc>
        <w:tc>
          <w:tcPr>
            <w:tcW w:w="749" w:type="dxa"/>
            <w:tcBorders>
              <w:top w:val="nil"/>
              <w:left w:val="nil"/>
              <w:bottom w:val="nil"/>
              <w:right w:val="nil"/>
            </w:tcBorders>
            <w:shd w:val="clear" w:color="000000" w:fill="D9D9D9"/>
            <w:noWrap/>
            <w:vAlign w:val="bottom"/>
          </w:tcPr>
          <w:p w14:paraId="528B4BA8" w14:textId="77777777" w:rsidR="00504770" w:rsidRDefault="00F76BAE">
            <w:pPr>
              <w:rPr>
                <w:szCs w:val="20"/>
                <w:lang w:val="en-GB" w:eastAsia="en-GB"/>
              </w:rPr>
            </w:pPr>
            <w:r>
              <w:rPr>
                <w:szCs w:val="20"/>
                <w:lang w:val="en-GB" w:eastAsia="en-GB"/>
              </w:rPr>
              <w:t> </w:t>
            </w:r>
          </w:p>
        </w:tc>
        <w:tc>
          <w:tcPr>
            <w:tcW w:w="697" w:type="dxa"/>
            <w:gridSpan w:val="2"/>
            <w:tcBorders>
              <w:top w:val="nil"/>
              <w:left w:val="nil"/>
              <w:bottom w:val="nil"/>
              <w:right w:val="single" w:sz="4" w:space="0" w:color="auto"/>
            </w:tcBorders>
            <w:shd w:val="clear" w:color="000000" w:fill="D9D9D9"/>
            <w:noWrap/>
            <w:vAlign w:val="bottom"/>
          </w:tcPr>
          <w:p w14:paraId="528B4BA9" w14:textId="77777777" w:rsidR="00504770" w:rsidRDefault="00F76BAE">
            <w:pPr>
              <w:rPr>
                <w:szCs w:val="20"/>
                <w:lang w:val="en-GB" w:eastAsia="en-GB"/>
              </w:rPr>
            </w:pPr>
            <w:r>
              <w:rPr>
                <w:szCs w:val="20"/>
                <w:lang w:val="en-GB" w:eastAsia="en-GB"/>
              </w:rPr>
              <w:t> </w:t>
            </w:r>
          </w:p>
        </w:tc>
      </w:tr>
      <w:tr w:rsidR="00504770" w:rsidRPr="00B44DAD" w14:paraId="528B4BAD" w14:textId="77777777">
        <w:trPr>
          <w:trHeight w:val="300"/>
        </w:trPr>
        <w:tc>
          <w:tcPr>
            <w:tcW w:w="9379" w:type="dxa"/>
            <w:gridSpan w:val="14"/>
            <w:tcBorders>
              <w:top w:val="nil"/>
              <w:left w:val="single" w:sz="4" w:space="0" w:color="auto"/>
              <w:bottom w:val="single" w:sz="4" w:space="0" w:color="auto"/>
              <w:right w:val="single" w:sz="4" w:space="0" w:color="auto"/>
            </w:tcBorders>
            <w:shd w:val="clear" w:color="000000" w:fill="D9D9D9"/>
            <w:noWrap/>
            <w:vAlign w:val="bottom"/>
          </w:tcPr>
          <w:p w14:paraId="528B4BAB" w14:textId="77777777" w:rsidR="00504770" w:rsidRDefault="00F76BAE">
            <w:pPr>
              <w:rPr>
                <w:szCs w:val="20"/>
                <w:lang w:val="en-GB" w:eastAsia="en-GB"/>
              </w:rPr>
            </w:pPr>
            <w:r>
              <w:rPr>
                <w:szCs w:val="20"/>
                <w:lang w:val="en-GB" w:eastAsia="en-GB"/>
              </w:rPr>
              <w:t>The final rating will be the weighted average of the technical score and the financial score with the following weights: technical score (70%) and financial score (30%).</w:t>
            </w:r>
          </w:p>
          <w:p w14:paraId="528B4BAC" w14:textId="77777777" w:rsidR="00504770" w:rsidRDefault="00F76BAE">
            <w:pPr>
              <w:rPr>
                <w:szCs w:val="20"/>
                <w:lang w:val="en-GB" w:eastAsia="en-GB"/>
              </w:rPr>
            </w:pPr>
            <w:r>
              <w:rPr>
                <w:szCs w:val="20"/>
                <w:lang w:val="en-GB" w:eastAsia="en-GB"/>
              </w:rPr>
              <w:t> </w:t>
            </w:r>
          </w:p>
        </w:tc>
      </w:tr>
    </w:tbl>
    <w:p w14:paraId="528B4BAE" w14:textId="77777777" w:rsidR="00504770" w:rsidRDefault="00504770">
      <w:pPr>
        <w:jc w:val="both"/>
        <w:rPr>
          <w:lang w:val="en-GB"/>
        </w:rPr>
      </w:pPr>
    </w:p>
    <w:p w14:paraId="528B4BB0" w14:textId="77777777" w:rsidR="00504770" w:rsidRDefault="00504770">
      <w:pPr>
        <w:pStyle w:val="Sansinterligne"/>
        <w:rPr>
          <w:lang w:val="en-US"/>
        </w:rPr>
      </w:pPr>
    </w:p>
    <w:p w14:paraId="528B4BB1" w14:textId="1B8B28F3" w:rsidR="00504770" w:rsidRDefault="00F76BAE">
      <w:pPr>
        <w:jc w:val="both"/>
        <w:rPr>
          <w:lang w:val="en-US"/>
        </w:rPr>
      </w:pPr>
      <w:r>
        <w:rPr>
          <w:lang w:val="en-US"/>
        </w:rPr>
        <w:t xml:space="preserve">The technical and financial offers will be analyzed and evaluated by the ETM steering committee </w:t>
      </w:r>
      <w:r w:rsidR="00F738DA">
        <w:rPr>
          <w:lang w:val="en-US"/>
        </w:rPr>
        <w:t xml:space="preserve"> the </w:t>
      </w:r>
      <w:r w:rsidR="00D221E5">
        <w:rPr>
          <w:lang w:val="en-US"/>
        </w:rPr>
        <w:t>4</w:t>
      </w:r>
      <w:r w:rsidR="00D221E5" w:rsidRPr="00D221E5">
        <w:rPr>
          <w:vertAlign w:val="superscript"/>
          <w:lang w:val="en-US"/>
        </w:rPr>
        <w:t>th</w:t>
      </w:r>
      <w:r w:rsidR="00D221E5">
        <w:rPr>
          <w:lang w:val="en-US"/>
        </w:rPr>
        <w:t xml:space="preserve"> week </w:t>
      </w:r>
      <w:r w:rsidR="00F738DA">
        <w:rPr>
          <w:lang w:val="en-US"/>
        </w:rPr>
        <w:t>of November</w:t>
      </w:r>
      <w:r>
        <w:rPr>
          <w:lang w:val="en-US"/>
        </w:rPr>
        <w:t xml:space="preserve">. The selected consultant will be contacted for a meeting. </w:t>
      </w:r>
    </w:p>
    <w:p w14:paraId="528B4BB2" w14:textId="77777777" w:rsidR="00504770" w:rsidRDefault="00504770">
      <w:pPr>
        <w:pStyle w:val="Sansinterligne"/>
        <w:rPr>
          <w:lang w:val="en-US"/>
        </w:rPr>
      </w:pPr>
    </w:p>
    <w:p w14:paraId="528B4BB3" w14:textId="77777777" w:rsidR="00504770" w:rsidRDefault="00F76BAE">
      <w:pPr>
        <w:jc w:val="both"/>
        <w:rPr>
          <w:lang w:val="en-US"/>
        </w:rPr>
      </w:pPr>
      <w:r>
        <w:rPr>
          <w:lang w:val="en-US"/>
        </w:rPr>
        <w:t>All relevant documentation and information relevant to the program will be provided and the (negotiated) contract developed for signature by both parties. (1 to 2 days in Brussels and / or by e-mail/digital meeting: direct contact, knowledge of documents, methodology, negotiation and drafting of the contract…)</w:t>
      </w:r>
    </w:p>
    <w:p w14:paraId="528B4BB4" w14:textId="0B495A94" w:rsidR="00504770" w:rsidRDefault="00F76BAE">
      <w:pPr>
        <w:pStyle w:val="Sansinterligne"/>
        <w:rPr>
          <w:rFonts w:ascii="Verdana" w:hAnsi="Verdana"/>
          <w:sz w:val="20"/>
          <w:lang w:val="en-US"/>
        </w:rPr>
      </w:pPr>
      <w:r>
        <w:rPr>
          <w:rFonts w:ascii="Verdana" w:hAnsi="Verdana"/>
          <w:sz w:val="20"/>
          <w:lang w:val="en-US"/>
        </w:rPr>
        <w:t xml:space="preserve">The evaluator will prepare and organize the mission with ETM and the action leaders by the end of </w:t>
      </w:r>
      <w:r w:rsidR="00D221E5">
        <w:rPr>
          <w:rFonts w:ascii="Verdana" w:hAnsi="Verdana"/>
          <w:sz w:val="20"/>
          <w:lang w:val="en-US"/>
        </w:rPr>
        <w:t>November at the</w:t>
      </w:r>
      <w:r>
        <w:rPr>
          <w:rFonts w:ascii="Verdana" w:hAnsi="Verdana"/>
          <w:sz w:val="20"/>
          <w:lang w:val="en-US"/>
        </w:rPr>
        <w:t xml:space="preserve"> latest.</w:t>
      </w:r>
    </w:p>
    <w:p w14:paraId="528B4BB5" w14:textId="37E07E0B" w:rsidR="00504770" w:rsidRDefault="00F76BAE">
      <w:pPr>
        <w:pStyle w:val="Sansinterligne"/>
        <w:rPr>
          <w:rFonts w:ascii="Verdana" w:hAnsi="Verdana"/>
          <w:sz w:val="20"/>
          <w:lang w:val="en-US"/>
        </w:rPr>
      </w:pPr>
      <w:r>
        <w:rPr>
          <w:rFonts w:ascii="Verdana" w:hAnsi="Verdana"/>
          <w:sz w:val="20"/>
          <w:lang w:val="en-US"/>
        </w:rPr>
        <w:t>The field mission itself, lasting a maximum of 14 days, will be conducted in the Philippines preferably be</w:t>
      </w:r>
      <w:r w:rsidR="00F738DA">
        <w:rPr>
          <w:rFonts w:ascii="Verdana" w:hAnsi="Verdana"/>
          <w:sz w:val="20"/>
          <w:lang w:val="en-US"/>
        </w:rPr>
        <w:t>fore</w:t>
      </w:r>
      <w:r>
        <w:rPr>
          <w:rFonts w:ascii="Verdana" w:hAnsi="Verdana"/>
          <w:sz w:val="20"/>
          <w:lang w:val="en-US"/>
        </w:rPr>
        <w:t xml:space="preserve"> the 18</w:t>
      </w:r>
      <w:r>
        <w:rPr>
          <w:rFonts w:ascii="Verdana" w:hAnsi="Verdana"/>
          <w:sz w:val="20"/>
          <w:vertAlign w:val="superscript"/>
          <w:lang w:val="en-US"/>
        </w:rPr>
        <w:t>th</w:t>
      </w:r>
      <w:r>
        <w:rPr>
          <w:rFonts w:ascii="Verdana" w:hAnsi="Verdana"/>
          <w:sz w:val="20"/>
          <w:lang w:val="en-US"/>
        </w:rPr>
        <w:t xml:space="preserve"> of December, 202</w:t>
      </w:r>
      <w:r w:rsidR="00F738DA">
        <w:rPr>
          <w:rFonts w:ascii="Verdana" w:hAnsi="Verdana"/>
          <w:sz w:val="20"/>
          <w:lang w:val="en-US"/>
        </w:rPr>
        <w:t>5</w:t>
      </w:r>
      <w:r>
        <w:rPr>
          <w:rFonts w:ascii="Verdana" w:hAnsi="Verdana"/>
          <w:sz w:val="20"/>
          <w:lang w:val="en-US"/>
        </w:rPr>
        <w:t>.</w:t>
      </w:r>
    </w:p>
    <w:p w14:paraId="528B4BB6" w14:textId="77777777" w:rsidR="00504770" w:rsidRDefault="00504770">
      <w:pPr>
        <w:pStyle w:val="Sansinterligne"/>
        <w:rPr>
          <w:lang w:val="en-US"/>
        </w:rPr>
      </w:pPr>
    </w:p>
    <w:p w14:paraId="528B4BB7" w14:textId="09217A9F" w:rsidR="00504770" w:rsidRDefault="00F76BAE">
      <w:pPr>
        <w:rPr>
          <w:lang w:val="en-US"/>
        </w:rPr>
      </w:pPr>
      <w:r>
        <w:rPr>
          <w:lang w:val="en-US"/>
        </w:rPr>
        <w:t xml:space="preserve">The final report will be submitted to the Sponsor no later than the </w:t>
      </w:r>
      <w:r w:rsidR="0068345E" w:rsidRPr="0068345E">
        <w:rPr>
          <w:lang w:val="en-US"/>
        </w:rPr>
        <w:t>30</w:t>
      </w:r>
      <w:r w:rsidRPr="0068345E">
        <w:rPr>
          <w:vertAlign w:val="superscript"/>
          <w:lang w:val="en-US"/>
        </w:rPr>
        <w:t>th</w:t>
      </w:r>
      <w:r w:rsidRPr="0068345E">
        <w:rPr>
          <w:lang w:val="en-US"/>
        </w:rPr>
        <w:t xml:space="preserve"> of </w:t>
      </w:r>
      <w:r w:rsidR="0068345E" w:rsidRPr="0068345E">
        <w:rPr>
          <w:lang w:val="en-US"/>
        </w:rPr>
        <w:t>January 2026</w:t>
      </w:r>
      <w:r>
        <w:rPr>
          <w:u w:val="single"/>
          <w:lang w:val="en-US"/>
        </w:rPr>
        <w:t xml:space="preserve"> </w:t>
      </w:r>
    </w:p>
    <w:p w14:paraId="528B4BB8" w14:textId="77777777" w:rsidR="00504770" w:rsidRDefault="00504770">
      <w:pPr>
        <w:pStyle w:val="Sansinterligne"/>
        <w:rPr>
          <w:lang w:val="en-US"/>
        </w:rPr>
      </w:pPr>
    </w:p>
    <w:p w14:paraId="528B4BB9" w14:textId="09CC4AC1" w:rsidR="00504770" w:rsidRDefault="00F76BAE">
      <w:pPr>
        <w:jc w:val="both"/>
        <w:rPr>
          <w:lang w:val="en-US"/>
        </w:rPr>
      </w:pPr>
      <w:r>
        <w:rPr>
          <w:lang w:val="en-US"/>
        </w:rPr>
        <w:t xml:space="preserve">The above-mentioned schedule is a flexible </w:t>
      </w:r>
      <w:r w:rsidR="003212F4">
        <w:rPr>
          <w:lang w:val="en-US"/>
        </w:rPr>
        <w:t>estimation,</w:t>
      </w:r>
      <w:r>
        <w:rPr>
          <w:lang w:val="en-US"/>
        </w:rPr>
        <w:t xml:space="preserve"> however.</w:t>
      </w:r>
    </w:p>
    <w:p w14:paraId="528B4BBA" w14:textId="77777777" w:rsidR="00504770" w:rsidRDefault="00504770">
      <w:pPr>
        <w:pStyle w:val="Sansinterligne"/>
        <w:rPr>
          <w:lang w:val="en-US"/>
        </w:rPr>
      </w:pPr>
    </w:p>
    <w:p w14:paraId="528B4BBB" w14:textId="77777777" w:rsidR="00504770" w:rsidRDefault="00F76BAE">
      <w:pPr>
        <w:jc w:val="both"/>
        <w:rPr>
          <w:iCs/>
          <w:szCs w:val="20"/>
          <w:u w:val="single"/>
          <w:lang w:val="en-US"/>
        </w:rPr>
      </w:pPr>
      <w:r>
        <w:rPr>
          <w:iCs/>
          <w:szCs w:val="20"/>
          <w:u w:val="single"/>
          <w:lang w:val="en-US"/>
        </w:rPr>
        <w:t xml:space="preserve">Expected deliverables: </w:t>
      </w:r>
    </w:p>
    <w:p w14:paraId="528B4BBC" w14:textId="77777777" w:rsidR="00504770" w:rsidRDefault="00504770">
      <w:pPr>
        <w:pStyle w:val="Sansinterligne"/>
        <w:rPr>
          <w:lang w:val="en-US"/>
        </w:rPr>
      </w:pPr>
    </w:p>
    <w:p w14:paraId="528B4BBD" w14:textId="77777777" w:rsidR="00504770" w:rsidRDefault="00F76BAE">
      <w:pPr>
        <w:pStyle w:val="Sansinterligne"/>
        <w:rPr>
          <w:rFonts w:ascii="Verdana" w:hAnsi="Verdana"/>
          <w:sz w:val="20"/>
          <w:lang w:val="en-US"/>
        </w:rPr>
      </w:pPr>
      <w:r>
        <w:rPr>
          <w:rFonts w:ascii="Verdana" w:hAnsi="Verdana"/>
          <w:sz w:val="20"/>
          <w:lang w:val="en-US"/>
        </w:rPr>
        <w:t>All correspondence and reports will be written in English.</w:t>
      </w:r>
    </w:p>
    <w:p w14:paraId="528B4BBE" w14:textId="77777777" w:rsidR="00504770" w:rsidRDefault="00F76BAE">
      <w:pPr>
        <w:jc w:val="both"/>
        <w:rPr>
          <w:iCs/>
          <w:szCs w:val="20"/>
          <w:lang w:val="en-US"/>
        </w:rPr>
      </w:pPr>
      <w:r>
        <w:rPr>
          <w:lang w:val="en-US"/>
        </w:rPr>
        <w:t xml:space="preserve">On the basis of his/her work, the assessor will issue provisional opinions and recommendations which he/she will submit to the authorities concerned for an in-depth exchange. </w:t>
      </w:r>
      <w:r>
        <w:rPr>
          <w:iCs/>
          <w:szCs w:val="20"/>
          <w:lang w:val="en-US"/>
        </w:rPr>
        <w:t>A restitution meeting will have to take place with the partner. The consultant will assure a gender balance in the composition of the local evaluation team.</w:t>
      </w:r>
    </w:p>
    <w:p w14:paraId="528B4BBF" w14:textId="77777777" w:rsidR="00504770" w:rsidRDefault="00F76BAE">
      <w:pPr>
        <w:pStyle w:val="Sansinterligne"/>
        <w:jc w:val="both"/>
        <w:rPr>
          <w:rFonts w:ascii="Verdana" w:hAnsi="Verdana"/>
          <w:iCs/>
          <w:sz w:val="20"/>
          <w:szCs w:val="20"/>
          <w:lang w:val="en-US"/>
        </w:rPr>
      </w:pPr>
      <w:r>
        <w:rPr>
          <w:rFonts w:ascii="Verdana" w:hAnsi="Verdana"/>
          <w:iCs/>
          <w:sz w:val="20"/>
          <w:szCs w:val="20"/>
          <w:lang w:val="en-US"/>
        </w:rPr>
        <w:t>The minutes of these meetings, mentioning the participants, should be attached to the final report.</w:t>
      </w:r>
    </w:p>
    <w:p w14:paraId="528B4BC0" w14:textId="77777777" w:rsidR="00504770" w:rsidRDefault="00504770">
      <w:pPr>
        <w:pStyle w:val="Sansinterligne"/>
        <w:jc w:val="both"/>
        <w:rPr>
          <w:lang w:val="en-US"/>
        </w:rPr>
      </w:pPr>
    </w:p>
    <w:p w14:paraId="528B4BC1" w14:textId="77777777" w:rsidR="00504770" w:rsidRDefault="00F76BAE">
      <w:pPr>
        <w:pStyle w:val="Retraitcorpsdetexte2"/>
        <w:ind w:left="0"/>
        <w:jc w:val="both"/>
        <w:rPr>
          <w:szCs w:val="20"/>
          <w:lang w:val="en-US"/>
        </w:rPr>
      </w:pPr>
      <w:r>
        <w:rPr>
          <w:szCs w:val="20"/>
          <w:lang w:val="en-US"/>
        </w:rPr>
        <w:t>Following the collective feedback meeting, an interim report of maximum 40 pages, excluding the relevant appendices and the 5-page summary of the results and recommendations, will be drafted. The crosscutting theme of gender will be integrated into the evaluated criteria.</w:t>
      </w:r>
    </w:p>
    <w:p w14:paraId="528B4BC2" w14:textId="77777777" w:rsidR="00504770" w:rsidRDefault="00504770">
      <w:pPr>
        <w:pStyle w:val="Sansinterligne"/>
        <w:rPr>
          <w:lang w:val="en-US"/>
        </w:rPr>
      </w:pPr>
    </w:p>
    <w:p w14:paraId="528B4BC3" w14:textId="77777777" w:rsidR="00504770" w:rsidRDefault="00F76BAE">
      <w:pPr>
        <w:pStyle w:val="Retraitcorpsdetexte2"/>
        <w:ind w:left="0"/>
        <w:jc w:val="both"/>
        <w:rPr>
          <w:iCs/>
          <w:szCs w:val="20"/>
          <w:lang w:val="en-US"/>
        </w:rPr>
      </w:pPr>
      <w:r>
        <w:rPr>
          <w:iCs/>
          <w:szCs w:val="20"/>
          <w:lang w:val="en-US"/>
        </w:rPr>
        <w:t>The report will be submitted to both stakeholders in Belgium and Philippines, who may request or provide additional information in order to complete the final report.</w:t>
      </w:r>
    </w:p>
    <w:p w14:paraId="528B4BC4" w14:textId="77777777" w:rsidR="00504770" w:rsidRDefault="00504770">
      <w:pPr>
        <w:pStyle w:val="Sansinterligne"/>
        <w:rPr>
          <w:lang w:val="en-US"/>
        </w:rPr>
      </w:pPr>
    </w:p>
    <w:p w14:paraId="528B4BC5" w14:textId="77777777" w:rsidR="00504770" w:rsidRDefault="00F76BAE">
      <w:pPr>
        <w:pStyle w:val="Sansinterligne"/>
        <w:jc w:val="both"/>
        <w:rPr>
          <w:rFonts w:ascii="Verdana" w:hAnsi="Verdana"/>
          <w:iCs/>
          <w:sz w:val="20"/>
          <w:szCs w:val="20"/>
          <w:lang w:val="en-US"/>
        </w:rPr>
      </w:pPr>
      <w:r>
        <w:rPr>
          <w:rFonts w:ascii="Verdana" w:hAnsi="Verdana"/>
          <w:iCs/>
          <w:sz w:val="20"/>
          <w:szCs w:val="20"/>
          <w:lang w:val="en-US"/>
        </w:rPr>
        <w:t>The final report will be delivered digitally in Word and PDF format to ETM, commander, who will copy and disseminate it to the different stakeholders.</w:t>
      </w:r>
    </w:p>
    <w:p w14:paraId="528B4BC6" w14:textId="77777777" w:rsidR="00504770" w:rsidRDefault="00504770">
      <w:pPr>
        <w:pStyle w:val="Sansinterligne"/>
        <w:jc w:val="both"/>
        <w:rPr>
          <w:lang w:val="en-US"/>
        </w:rPr>
      </w:pPr>
    </w:p>
    <w:p w14:paraId="528B4BC7" w14:textId="744D345D" w:rsidR="00504770" w:rsidRDefault="00F76BAE">
      <w:pPr>
        <w:jc w:val="both"/>
        <w:rPr>
          <w:iCs/>
          <w:szCs w:val="20"/>
          <w:lang w:val="en-US"/>
        </w:rPr>
      </w:pPr>
      <w:r>
        <w:rPr>
          <w:iCs/>
          <w:szCs w:val="20"/>
          <w:lang w:val="en-US"/>
        </w:rPr>
        <w:t xml:space="preserve">The final report will be the subject of a discussion and validation within ETM’s board. Special attention will be given to recommendations and possible means to implement them. A concrete </w:t>
      </w:r>
      <w:r w:rsidR="00F738DA">
        <w:rPr>
          <w:iCs/>
          <w:szCs w:val="20"/>
          <w:lang w:val="en-US"/>
        </w:rPr>
        <w:t xml:space="preserve">managerial answer </w:t>
      </w:r>
      <w:r>
        <w:rPr>
          <w:iCs/>
          <w:szCs w:val="20"/>
          <w:lang w:val="en-US"/>
        </w:rPr>
        <w:t xml:space="preserve">and achievable action plan will be carried out in consultation with </w:t>
      </w:r>
      <w:r w:rsidR="006A20D8">
        <w:rPr>
          <w:iCs/>
          <w:szCs w:val="20"/>
          <w:lang w:val="en-US"/>
        </w:rPr>
        <w:t>partners and</w:t>
      </w:r>
      <w:r>
        <w:rPr>
          <w:iCs/>
          <w:szCs w:val="20"/>
          <w:lang w:val="en-US"/>
        </w:rPr>
        <w:t xml:space="preserve"> widely disseminated including follow-up planning in order to improve certain aspects resulting from the evaluation report.</w:t>
      </w:r>
    </w:p>
    <w:p w14:paraId="528B4BC8" w14:textId="77777777" w:rsidR="00504770" w:rsidRDefault="00504770">
      <w:pPr>
        <w:pStyle w:val="Sansinterligne"/>
        <w:rPr>
          <w:lang w:val="en-US"/>
        </w:rPr>
      </w:pPr>
    </w:p>
    <w:p w14:paraId="528B4BC9" w14:textId="1E95E2A1" w:rsidR="00504770" w:rsidRDefault="00F76BAE">
      <w:pPr>
        <w:jc w:val="both"/>
        <w:rPr>
          <w:lang w:val="en-US"/>
        </w:rPr>
      </w:pPr>
      <w:r>
        <w:rPr>
          <w:lang w:val="en-US"/>
        </w:rPr>
        <w:t>The evaluation report and the management response will be made public via the ETM</w:t>
      </w:r>
      <w:r w:rsidR="00F738DA">
        <w:rPr>
          <w:lang w:val="en-US"/>
        </w:rPr>
        <w:t xml:space="preserve"> w</w:t>
      </w:r>
      <w:r>
        <w:rPr>
          <w:lang w:val="en-US"/>
        </w:rPr>
        <w:t>ebsites within 3 months at the latest after receipt of the final report.</w:t>
      </w:r>
    </w:p>
    <w:p w14:paraId="528B4BCA" w14:textId="77777777" w:rsidR="00504770" w:rsidRDefault="00F76BAE">
      <w:pPr>
        <w:jc w:val="both"/>
        <w:rPr>
          <w:lang w:val="en-GB"/>
        </w:rPr>
      </w:pPr>
      <w:r>
        <w:rPr>
          <w:lang w:val="en-US"/>
        </w:rPr>
        <w:t xml:space="preserve">However, in the case where the external evaluator or the board of directors ETM decides on the confidentiality of all or part of the report and / or the managerial response, the report will be made public in part, justifying the reasons for this choice. </w:t>
      </w:r>
    </w:p>
    <w:p w14:paraId="528B4BCB" w14:textId="77777777" w:rsidR="00504770" w:rsidRDefault="00504770">
      <w:pPr>
        <w:pStyle w:val="Sansinterligne"/>
        <w:rPr>
          <w:lang w:val="en-GB"/>
        </w:rPr>
      </w:pPr>
    </w:p>
    <w:p w14:paraId="528B4BCC" w14:textId="3DD8F2CE" w:rsidR="00504770" w:rsidRPr="00765F1A" w:rsidRDefault="00766A4B">
      <w:pPr>
        <w:jc w:val="right"/>
        <w:rPr>
          <w:lang w:val="en-US"/>
        </w:rPr>
      </w:pPr>
      <w:r w:rsidRPr="00765F1A">
        <w:rPr>
          <w:lang w:val="en-US"/>
        </w:rPr>
        <w:t>Empowering Tomorrow’s</w:t>
      </w:r>
      <w:r w:rsidR="00F76BAE" w:rsidRPr="00765F1A">
        <w:rPr>
          <w:lang w:val="en-US"/>
        </w:rPr>
        <w:t xml:space="preserve"> generation</w:t>
      </w:r>
    </w:p>
    <w:p w14:paraId="528B4BCD" w14:textId="77777777" w:rsidR="00504770" w:rsidRPr="00765F1A" w:rsidRDefault="00F76BAE">
      <w:pPr>
        <w:jc w:val="right"/>
        <w:rPr>
          <w:lang w:val="en-US"/>
        </w:rPr>
      </w:pPr>
      <w:r w:rsidRPr="00765F1A">
        <w:rPr>
          <w:lang w:val="en-US"/>
        </w:rPr>
        <w:t>Rue de Dinant 5 bte 11</w:t>
      </w:r>
    </w:p>
    <w:p w14:paraId="528B4BCE" w14:textId="77777777" w:rsidR="00504770" w:rsidRDefault="00F76BAE">
      <w:pPr>
        <w:jc w:val="right"/>
      </w:pPr>
      <w:r>
        <w:t>1000 Bruxelles</w:t>
      </w:r>
    </w:p>
    <w:p w14:paraId="528B4BCF" w14:textId="77777777" w:rsidR="00504770" w:rsidRDefault="00F76BAE">
      <w:pPr>
        <w:jc w:val="right"/>
      </w:pPr>
      <w:r>
        <w:t>RPM Tribunal de l’Entreprise Bruxelles</w:t>
      </w:r>
    </w:p>
    <w:p w14:paraId="528B4BD0" w14:textId="77777777" w:rsidR="00504770" w:rsidRDefault="00F76BAE">
      <w:pPr>
        <w:jc w:val="right"/>
        <w:rPr>
          <w:lang w:val="de-DE"/>
        </w:rPr>
      </w:pPr>
      <w:r>
        <w:rPr>
          <w:lang w:val="de-DE"/>
        </w:rPr>
        <w:t>Ph. +32 2 503 11 53</w:t>
      </w:r>
    </w:p>
    <w:p w14:paraId="528B4BD1" w14:textId="77777777" w:rsidR="00504770" w:rsidRPr="00765F1A" w:rsidRDefault="00F76BAE">
      <w:pPr>
        <w:jc w:val="right"/>
        <w:rPr>
          <w:lang w:val="de-DE"/>
        </w:rPr>
      </w:pPr>
      <w:r w:rsidRPr="00765F1A">
        <w:rPr>
          <w:lang w:val="de-DE"/>
        </w:rPr>
        <w:t>E-mail: contact@etm-ngo.org</w:t>
      </w:r>
    </w:p>
    <w:p w14:paraId="528B4BD2" w14:textId="77777777" w:rsidR="00504770" w:rsidRDefault="00F76BAE">
      <w:pPr>
        <w:jc w:val="right"/>
        <w:rPr>
          <w:lang w:val="fr-BE"/>
        </w:rPr>
      </w:pPr>
      <w:r>
        <w:rPr>
          <w:lang w:val="fr-BE"/>
        </w:rPr>
        <w:t>NN 405.451.054</w:t>
      </w:r>
    </w:p>
    <w:p w14:paraId="528B4BD4" w14:textId="77777777" w:rsidR="00504770" w:rsidRDefault="00F76BAE">
      <w:pPr>
        <w:rPr>
          <w:lang w:val="fr-BE"/>
        </w:rPr>
      </w:pPr>
      <w:r>
        <w:rPr>
          <w:lang w:val="fr-BE"/>
        </w:rPr>
        <w:t>Contact Person: Jean Fiasse, Director.</w:t>
      </w:r>
    </w:p>
    <w:p w14:paraId="528B4BD5" w14:textId="77777777" w:rsidR="00504770" w:rsidRDefault="00F76BAE">
      <w:pPr>
        <w:rPr>
          <w:lang w:val="en-US"/>
        </w:rPr>
      </w:pPr>
      <w:r>
        <w:rPr>
          <w:lang w:val="en-US"/>
        </w:rPr>
        <w:t xml:space="preserve">Steering committee: Francoise Petre, Jean Fiasse, Angele </w:t>
      </w:r>
      <w:r>
        <w:rPr>
          <w:rFonts w:cs="Arial"/>
          <w:szCs w:val="20"/>
          <w:lang w:val="en-US"/>
        </w:rPr>
        <w:t>Kukabusu Matondo</w:t>
      </w:r>
      <w:r>
        <w:rPr>
          <w:lang w:val="en-US"/>
        </w:rPr>
        <w:t xml:space="preserve"> .</w:t>
      </w:r>
    </w:p>
    <w:p w14:paraId="528B4BD6" w14:textId="77777777" w:rsidR="00504770" w:rsidRDefault="00504770">
      <w:pPr>
        <w:pStyle w:val="Sansinterligne"/>
        <w:rPr>
          <w:lang w:val="en-US"/>
        </w:rPr>
      </w:pPr>
    </w:p>
    <w:p w14:paraId="528B4BD7" w14:textId="5FB6B3AA" w:rsidR="00504770" w:rsidRDefault="00F76BAE">
      <w:pPr>
        <w:rPr>
          <w:lang w:val="en-US"/>
        </w:rPr>
      </w:pPr>
      <w:r>
        <w:rPr>
          <w:lang w:val="en-US"/>
        </w:rPr>
        <w:t xml:space="preserve">REMINDER - Deadline for submission of tenders: the </w:t>
      </w:r>
      <w:r w:rsidR="00D221E5">
        <w:rPr>
          <w:lang w:val="en-US"/>
        </w:rPr>
        <w:t>14</w:t>
      </w:r>
      <w:r>
        <w:rPr>
          <w:lang w:val="en-US"/>
        </w:rPr>
        <w:t xml:space="preserve"> th of </w:t>
      </w:r>
      <w:r w:rsidR="00766A4B">
        <w:rPr>
          <w:lang w:val="en-US"/>
        </w:rPr>
        <w:t>November</w:t>
      </w:r>
      <w:r>
        <w:rPr>
          <w:lang w:val="en-US"/>
        </w:rPr>
        <w:t xml:space="preserve"> 202</w:t>
      </w:r>
      <w:r w:rsidR="0061463C">
        <w:rPr>
          <w:lang w:val="en-US"/>
        </w:rPr>
        <w:t>5</w:t>
      </w:r>
      <w:r>
        <w:rPr>
          <w:lang w:val="en-US"/>
        </w:rPr>
        <w:t xml:space="preserve"> at midnight.</w:t>
      </w:r>
    </w:p>
    <w:sectPr w:rsidR="00504770">
      <w:footerReference w:type="even" r:id="rId9"/>
      <w:footerReference w:type="default" r:id="rId10"/>
      <w:pgSz w:w="11906" w:h="16838"/>
      <w:pgMar w:top="567" w:right="1274" w:bottom="96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2E5B5" w14:textId="77777777" w:rsidR="00A44310" w:rsidRDefault="00A44310">
      <w:r>
        <w:separator/>
      </w:r>
    </w:p>
  </w:endnote>
  <w:endnote w:type="continuationSeparator" w:id="0">
    <w:p w14:paraId="6D73D8D2" w14:textId="77777777" w:rsidR="00A44310" w:rsidRDefault="00A4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Garamond">
    <w:altName w:val="苹方-简"/>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Bold Italic">
    <w:altName w:val="Verdana"/>
    <w:charset w:val="00"/>
    <w:family w:val="auto"/>
    <w:pitch w:val="default"/>
  </w:font>
  <w:font w:name="Verdana Italic">
    <w:altName w:val="Verdan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4BDE" w14:textId="77777777" w:rsidR="00504770" w:rsidRDefault="00F76B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28B4BDF" w14:textId="77777777" w:rsidR="00504770" w:rsidRDefault="0050477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4BE0" w14:textId="2E8B7641" w:rsidR="00504770" w:rsidRDefault="00F76B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B6EA8">
      <w:rPr>
        <w:rStyle w:val="Numrodepage"/>
        <w:noProof/>
      </w:rPr>
      <w:t>1</w:t>
    </w:r>
    <w:r>
      <w:rPr>
        <w:rStyle w:val="Numrodepage"/>
      </w:rPr>
      <w:fldChar w:fldCharType="end"/>
    </w:r>
  </w:p>
  <w:p w14:paraId="528B4BE1" w14:textId="77777777" w:rsidR="00504770" w:rsidRDefault="0050477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AC94C" w14:textId="77777777" w:rsidR="00A44310" w:rsidRDefault="00A44310">
      <w:r>
        <w:separator/>
      </w:r>
    </w:p>
  </w:footnote>
  <w:footnote w:type="continuationSeparator" w:id="0">
    <w:p w14:paraId="613DD6A7" w14:textId="77777777" w:rsidR="00A44310" w:rsidRDefault="00A44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CEE"/>
    <w:multiLevelType w:val="hybridMultilevel"/>
    <w:tmpl w:val="E6BEB8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362488"/>
    <w:multiLevelType w:val="multilevel"/>
    <w:tmpl w:val="0C3624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FB7DC7"/>
    <w:multiLevelType w:val="hybridMultilevel"/>
    <w:tmpl w:val="01EA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D7358"/>
    <w:multiLevelType w:val="multilevel"/>
    <w:tmpl w:val="3B6D73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C86C6E"/>
    <w:multiLevelType w:val="multilevel"/>
    <w:tmpl w:val="44C86C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80070C9"/>
    <w:multiLevelType w:val="multilevel"/>
    <w:tmpl w:val="480070C9"/>
    <w:lvl w:ilvl="0">
      <w:start w:val="2"/>
      <w:numFmt w:val="bullet"/>
      <w:lvlText w:val="-"/>
      <w:lvlJc w:val="left"/>
      <w:pPr>
        <w:ind w:left="720" w:hanging="360"/>
      </w:pPr>
      <w:rPr>
        <w:rFonts w:ascii="Verdana" w:eastAsia="Times New Roman"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0471C"/>
    <w:multiLevelType w:val="multilevel"/>
    <w:tmpl w:val="49A04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3270E2"/>
    <w:multiLevelType w:val="multilevel"/>
    <w:tmpl w:val="533270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94914B2"/>
    <w:multiLevelType w:val="hybridMultilevel"/>
    <w:tmpl w:val="3D380060"/>
    <w:lvl w:ilvl="0" w:tplc="0409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63EF1"/>
    <w:multiLevelType w:val="hybridMultilevel"/>
    <w:tmpl w:val="0C989BB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D1A693D"/>
    <w:multiLevelType w:val="multilevel"/>
    <w:tmpl w:val="5D1A69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6B118D"/>
    <w:multiLevelType w:val="multilevel"/>
    <w:tmpl w:val="616B118D"/>
    <w:lvl w:ilvl="0">
      <w:start w:val="1"/>
      <w:numFmt w:val="decimal"/>
      <w:pStyle w:val="Titre"/>
      <w:lvlText w:val="%1."/>
      <w:lvlJc w:val="left"/>
      <w:pPr>
        <w:ind w:left="720" w:hanging="360"/>
      </w:pPr>
      <w:rPr>
        <w:rFonts w:hint="default"/>
      </w:rPr>
    </w:lvl>
    <w:lvl w:ilvl="1">
      <w:start w:val="1"/>
      <w:numFmt w:val="decimal"/>
      <w:isLgl/>
      <w:lvlText w:val="%1.%2."/>
      <w:lvlJc w:val="left"/>
      <w:pPr>
        <w:ind w:left="1440" w:hanging="720"/>
      </w:pPr>
      <w:rPr>
        <w:rFonts w:hint="default"/>
        <w:i/>
        <w:u w:val="single"/>
      </w:rPr>
    </w:lvl>
    <w:lvl w:ilvl="2">
      <w:start w:val="1"/>
      <w:numFmt w:val="decimal"/>
      <w:isLgl/>
      <w:lvlText w:val="%1.%2.%3."/>
      <w:lvlJc w:val="left"/>
      <w:pPr>
        <w:ind w:left="1997" w:hanging="720"/>
      </w:pPr>
      <w:rPr>
        <w:rFonts w:hint="default"/>
        <w:b w:val="0"/>
        <w:i/>
        <w:u w:val="single"/>
      </w:rPr>
    </w:lvl>
    <w:lvl w:ilvl="3">
      <w:start w:val="1"/>
      <w:numFmt w:val="decimal"/>
      <w:isLgl/>
      <w:lvlText w:val="%1.%2.%3.%4."/>
      <w:lvlJc w:val="left"/>
      <w:pPr>
        <w:ind w:left="2520" w:hanging="1080"/>
      </w:pPr>
      <w:rPr>
        <w:rFonts w:hint="default"/>
        <w:i/>
        <w:u w:val="single"/>
      </w:rPr>
    </w:lvl>
    <w:lvl w:ilvl="4">
      <w:start w:val="1"/>
      <w:numFmt w:val="decimal"/>
      <w:isLgl/>
      <w:lvlText w:val="%1.%2.%3.%4.%5."/>
      <w:lvlJc w:val="left"/>
      <w:pPr>
        <w:ind w:left="3240" w:hanging="1440"/>
      </w:pPr>
      <w:rPr>
        <w:rFonts w:hint="default"/>
        <w:i/>
        <w:u w:val="single"/>
      </w:rPr>
    </w:lvl>
    <w:lvl w:ilvl="5">
      <w:start w:val="1"/>
      <w:numFmt w:val="decimal"/>
      <w:isLgl/>
      <w:lvlText w:val="%1.%2.%3.%4.%5.%6."/>
      <w:lvlJc w:val="left"/>
      <w:pPr>
        <w:ind w:left="3600" w:hanging="1440"/>
      </w:pPr>
      <w:rPr>
        <w:rFonts w:hint="default"/>
        <w:i/>
        <w:u w:val="single"/>
      </w:rPr>
    </w:lvl>
    <w:lvl w:ilvl="6">
      <w:start w:val="1"/>
      <w:numFmt w:val="decimal"/>
      <w:isLgl/>
      <w:lvlText w:val="%1.%2.%3.%4.%5.%6.%7."/>
      <w:lvlJc w:val="left"/>
      <w:pPr>
        <w:ind w:left="4320" w:hanging="1800"/>
      </w:pPr>
      <w:rPr>
        <w:rFonts w:hint="default"/>
        <w:i/>
        <w:u w:val="single"/>
      </w:rPr>
    </w:lvl>
    <w:lvl w:ilvl="7">
      <w:start w:val="1"/>
      <w:numFmt w:val="decimal"/>
      <w:isLgl/>
      <w:lvlText w:val="%1.%2.%3.%4.%5.%6.%7.%8."/>
      <w:lvlJc w:val="left"/>
      <w:pPr>
        <w:ind w:left="5040" w:hanging="2160"/>
      </w:pPr>
      <w:rPr>
        <w:rFonts w:hint="default"/>
        <w:i/>
        <w:u w:val="single"/>
      </w:rPr>
    </w:lvl>
    <w:lvl w:ilvl="8">
      <w:start w:val="1"/>
      <w:numFmt w:val="decimal"/>
      <w:isLgl/>
      <w:lvlText w:val="%1.%2.%3.%4.%5.%6.%7.%8.%9."/>
      <w:lvlJc w:val="left"/>
      <w:pPr>
        <w:ind w:left="5400" w:hanging="2160"/>
      </w:pPr>
      <w:rPr>
        <w:rFonts w:hint="default"/>
        <w:i/>
        <w:u w:val="single"/>
      </w:rPr>
    </w:lvl>
  </w:abstractNum>
  <w:abstractNum w:abstractNumId="12" w15:restartNumberingAfterBreak="0">
    <w:nsid w:val="7C035913"/>
    <w:multiLevelType w:val="multilevel"/>
    <w:tmpl w:val="7C03591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11"/>
    <w:lvlOverride w:ilvl="0">
      <w:startOverride w:val="2"/>
    </w:lvlOverride>
    <w:lvlOverride w:ilvl="1">
      <w:startOverride w:val="2"/>
    </w:lvlOverride>
  </w:num>
  <w:num w:numId="5">
    <w:abstractNumId w:val="3"/>
  </w:num>
  <w:num w:numId="6">
    <w:abstractNumId w:val="10"/>
  </w:num>
  <w:num w:numId="7">
    <w:abstractNumId w:val="1"/>
  </w:num>
  <w:num w:numId="8">
    <w:abstractNumId w:val="12"/>
  </w:num>
  <w:num w:numId="9">
    <w:abstractNumId w:val="6"/>
  </w:num>
  <w:num w:numId="10">
    <w:abstractNumId w:val="5"/>
  </w:num>
  <w:num w:numId="11">
    <w:abstractNumId w:val="2"/>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244"/>
  <w:drawingGridVerticalSpacing w:val="181"/>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DA"/>
    <w:rsid w:val="BFFF64B1"/>
    <w:rsid w:val="EFDBA320"/>
    <w:rsid w:val="00011A93"/>
    <w:rsid w:val="0001674D"/>
    <w:rsid w:val="00025B87"/>
    <w:rsid w:val="00030E92"/>
    <w:rsid w:val="0003336A"/>
    <w:rsid w:val="00033865"/>
    <w:rsid w:val="00033979"/>
    <w:rsid w:val="00034D8B"/>
    <w:rsid w:val="000417F9"/>
    <w:rsid w:val="000457A1"/>
    <w:rsid w:val="0004780D"/>
    <w:rsid w:val="00047AA6"/>
    <w:rsid w:val="000510DC"/>
    <w:rsid w:val="000517F8"/>
    <w:rsid w:val="0005504F"/>
    <w:rsid w:val="0008257E"/>
    <w:rsid w:val="0008473E"/>
    <w:rsid w:val="00090FF0"/>
    <w:rsid w:val="000A4434"/>
    <w:rsid w:val="000B31BE"/>
    <w:rsid w:val="000C38AA"/>
    <w:rsid w:val="000C404A"/>
    <w:rsid w:val="000F4E7E"/>
    <w:rsid w:val="00105A27"/>
    <w:rsid w:val="001062D4"/>
    <w:rsid w:val="00106A16"/>
    <w:rsid w:val="001108AD"/>
    <w:rsid w:val="00110BBA"/>
    <w:rsid w:val="0013100A"/>
    <w:rsid w:val="00151DDA"/>
    <w:rsid w:val="001565AE"/>
    <w:rsid w:val="00160E3D"/>
    <w:rsid w:val="00165000"/>
    <w:rsid w:val="00172CAE"/>
    <w:rsid w:val="00172D5B"/>
    <w:rsid w:val="00174F81"/>
    <w:rsid w:val="00177C54"/>
    <w:rsid w:val="00190B8B"/>
    <w:rsid w:val="001B2FFF"/>
    <w:rsid w:val="001B4BFC"/>
    <w:rsid w:val="001C100E"/>
    <w:rsid w:val="001C4812"/>
    <w:rsid w:val="001C5F7F"/>
    <w:rsid w:val="001E0E04"/>
    <w:rsid w:val="001E1E91"/>
    <w:rsid w:val="001E325B"/>
    <w:rsid w:val="001E3E88"/>
    <w:rsid w:val="001E4647"/>
    <w:rsid w:val="001E4876"/>
    <w:rsid w:val="001E615D"/>
    <w:rsid w:val="001F3316"/>
    <w:rsid w:val="001F534D"/>
    <w:rsid w:val="001F5D74"/>
    <w:rsid w:val="002071D5"/>
    <w:rsid w:val="00224C36"/>
    <w:rsid w:val="0022797F"/>
    <w:rsid w:val="00237C8C"/>
    <w:rsid w:val="00240479"/>
    <w:rsid w:val="00243335"/>
    <w:rsid w:val="002542DE"/>
    <w:rsid w:val="002573F4"/>
    <w:rsid w:val="00263503"/>
    <w:rsid w:val="00264AE8"/>
    <w:rsid w:val="00265A47"/>
    <w:rsid w:val="002711F8"/>
    <w:rsid w:val="00271E81"/>
    <w:rsid w:val="00276B13"/>
    <w:rsid w:val="0029000B"/>
    <w:rsid w:val="002A1C43"/>
    <w:rsid w:val="002A634F"/>
    <w:rsid w:val="002E26EF"/>
    <w:rsid w:val="002E33F5"/>
    <w:rsid w:val="002F267E"/>
    <w:rsid w:val="002F56FB"/>
    <w:rsid w:val="002F7109"/>
    <w:rsid w:val="003128D9"/>
    <w:rsid w:val="003212F4"/>
    <w:rsid w:val="00324B3D"/>
    <w:rsid w:val="003407B2"/>
    <w:rsid w:val="003442D3"/>
    <w:rsid w:val="003449C5"/>
    <w:rsid w:val="00355B99"/>
    <w:rsid w:val="0036524F"/>
    <w:rsid w:val="003850F7"/>
    <w:rsid w:val="0038753B"/>
    <w:rsid w:val="003B1C3F"/>
    <w:rsid w:val="003B6B98"/>
    <w:rsid w:val="003D2EA3"/>
    <w:rsid w:val="003D735C"/>
    <w:rsid w:val="003E307B"/>
    <w:rsid w:val="00406892"/>
    <w:rsid w:val="00412B0A"/>
    <w:rsid w:val="004131D7"/>
    <w:rsid w:val="0042173B"/>
    <w:rsid w:val="00431801"/>
    <w:rsid w:val="00442332"/>
    <w:rsid w:val="00444748"/>
    <w:rsid w:val="00455CA7"/>
    <w:rsid w:val="004716D4"/>
    <w:rsid w:val="00473779"/>
    <w:rsid w:val="00474136"/>
    <w:rsid w:val="00475C31"/>
    <w:rsid w:val="004834B0"/>
    <w:rsid w:val="00484439"/>
    <w:rsid w:val="004905C3"/>
    <w:rsid w:val="00497B60"/>
    <w:rsid w:val="004B2B56"/>
    <w:rsid w:val="004B59C8"/>
    <w:rsid w:val="004B66AD"/>
    <w:rsid w:val="004D3E31"/>
    <w:rsid w:val="004D6B67"/>
    <w:rsid w:val="004D78B1"/>
    <w:rsid w:val="004D79FA"/>
    <w:rsid w:val="004F1234"/>
    <w:rsid w:val="004F56AC"/>
    <w:rsid w:val="00503A17"/>
    <w:rsid w:val="00504770"/>
    <w:rsid w:val="00511AB3"/>
    <w:rsid w:val="00514585"/>
    <w:rsid w:val="005146E1"/>
    <w:rsid w:val="00532307"/>
    <w:rsid w:val="00532D35"/>
    <w:rsid w:val="00533AB7"/>
    <w:rsid w:val="00544921"/>
    <w:rsid w:val="00560CF7"/>
    <w:rsid w:val="00570889"/>
    <w:rsid w:val="00573574"/>
    <w:rsid w:val="0057397D"/>
    <w:rsid w:val="00574BDB"/>
    <w:rsid w:val="00594780"/>
    <w:rsid w:val="00597F00"/>
    <w:rsid w:val="005A31FD"/>
    <w:rsid w:val="005A62DF"/>
    <w:rsid w:val="005A6B04"/>
    <w:rsid w:val="005C4D21"/>
    <w:rsid w:val="005C5365"/>
    <w:rsid w:val="005E3B49"/>
    <w:rsid w:val="005F40F9"/>
    <w:rsid w:val="0060375B"/>
    <w:rsid w:val="00605995"/>
    <w:rsid w:val="00611FDA"/>
    <w:rsid w:val="0061463C"/>
    <w:rsid w:val="00614D49"/>
    <w:rsid w:val="0061660B"/>
    <w:rsid w:val="006210FE"/>
    <w:rsid w:val="006275F3"/>
    <w:rsid w:val="0064014D"/>
    <w:rsid w:val="00643F31"/>
    <w:rsid w:val="0065557A"/>
    <w:rsid w:val="0067443D"/>
    <w:rsid w:val="0067621C"/>
    <w:rsid w:val="0068345E"/>
    <w:rsid w:val="00685DA0"/>
    <w:rsid w:val="006A20D8"/>
    <w:rsid w:val="006A764D"/>
    <w:rsid w:val="006C47CD"/>
    <w:rsid w:val="006D5FB3"/>
    <w:rsid w:val="006D7876"/>
    <w:rsid w:val="006E22A3"/>
    <w:rsid w:val="006E2B0A"/>
    <w:rsid w:val="006E373C"/>
    <w:rsid w:val="006E3CB0"/>
    <w:rsid w:val="006E4EA3"/>
    <w:rsid w:val="006F4DAD"/>
    <w:rsid w:val="006F4DF2"/>
    <w:rsid w:val="006F7A7C"/>
    <w:rsid w:val="00705C9B"/>
    <w:rsid w:val="007068EC"/>
    <w:rsid w:val="00710319"/>
    <w:rsid w:val="00720F1B"/>
    <w:rsid w:val="00723272"/>
    <w:rsid w:val="00725468"/>
    <w:rsid w:val="007279BE"/>
    <w:rsid w:val="00731571"/>
    <w:rsid w:val="00733C38"/>
    <w:rsid w:val="00743D91"/>
    <w:rsid w:val="00752E8A"/>
    <w:rsid w:val="007565A5"/>
    <w:rsid w:val="00764752"/>
    <w:rsid w:val="00765F1A"/>
    <w:rsid w:val="007669C2"/>
    <w:rsid w:val="00766A4B"/>
    <w:rsid w:val="00787B00"/>
    <w:rsid w:val="00787C3E"/>
    <w:rsid w:val="007A2192"/>
    <w:rsid w:val="007A77C8"/>
    <w:rsid w:val="007B6EA8"/>
    <w:rsid w:val="007B7652"/>
    <w:rsid w:val="007C02DF"/>
    <w:rsid w:val="007C3B81"/>
    <w:rsid w:val="007C4518"/>
    <w:rsid w:val="007C7E54"/>
    <w:rsid w:val="007D2452"/>
    <w:rsid w:val="007E1CCC"/>
    <w:rsid w:val="007E4C33"/>
    <w:rsid w:val="007F1133"/>
    <w:rsid w:val="00801C16"/>
    <w:rsid w:val="00816E79"/>
    <w:rsid w:val="0082362E"/>
    <w:rsid w:val="008240AD"/>
    <w:rsid w:val="008338FE"/>
    <w:rsid w:val="008374AD"/>
    <w:rsid w:val="00841D72"/>
    <w:rsid w:val="008549D1"/>
    <w:rsid w:val="0085703E"/>
    <w:rsid w:val="0086058B"/>
    <w:rsid w:val="00863065"/>
    <w:rsid w:val="00866096"/>
    <w:rsid w:val="00880065"/>
    <w:rsid w:val="00886B8F"/>
    <w:rsid w:val="00887845"/>
    <w:rsid w:val="008950A1"/>
    <w:rsid w:val="008A5A74"/>
    <w:rsid w:val="008B1237"/>
    <w:rsid w:val="008B42B8"/>
    <w:rsid w:val="008C4A04"/>
    <w:rsid w:val="008F154A"/>
    <w:rsid w:val="008F7984"/>
    <w:rsid w:val="00901F62"/>
    <w:rsid w:val="00902AEE"/>
    <w:rsid w:val="009046C3"/>
    <w:rsid w:val="00906A06"/>
    <w:rsid w:val="009119A4"/>
    <w:rsid w:val="009151D2"/>
    <w:rsid w:val="0095423C"/>
    <w:rsid w:val="00957B22"/>
    <w:rsid w:val="00965095"/>
    <w:rsid w:val="00970AE8"/>
    <w:rsid w:val="009712A6"/>
    <w:rsid w:val="00983D77"/>
    <w:rsid w:val="009952AD"/>
    <w:rsid w:val="00997DAD"/>
    <w:rsid w:val="009A2676"/>
    <w:rsid w:val="009A2FD0"/>
    <w:rsid w:val="009A3DE9"/>
    <w:rsid w:val="009B12D8"/>
    <w:rsid w:val="009C344C"/>
    <w:rsid w:val="009C37C8"/>
    <w:rsid w:val="009D2FCF"/>
    <w:rsid w:val="009D350F"/>
    <w:rsid w:val="009D73DD"/>
    <w:rsid w:val="009E1566"/>
    <w:rsid w:val="009E2303"/>
    <w:rsid w:val="009E41F2"/>
    <w:rsid w:val="009E7125"/>
    <w:rsid w:val="00A03E9E"/>
    <w:rsid w:val="00A07048"/>
    <w:rsid w:val="00A111A5"/>
    <w:rsid w:val="00A135E3"/>
    <w:rsid w:val="00A1440B"/>
    <w:rsid w:val="00A252FA"/>
    <w:rsid w:val="00A26623"/>
    <w:rsid w:val="00A356E4"/>
    <w:rsid w:val="00A36C7B"/>
    <w:rsid w:val="00A44310"/>
    <w:rsid w:val="00A45A57"/>
    <w:rsid w:val="00A5381E"/>
    <w:rsid w:val="00A54F9D"/>
    <w:rsid w:val="00A61E61"/>
    <w:rsid w:val="00A64F5D"/>
    <w:rsid w:val="00A763FB"/>
    <w:rsid w:val="00A77105"/>
    <w:rsid w:val="00A82D35"/>
    <w:rsid w:val="00A873A6"/>
    <w:rsid w:val="00A908FB"/>
    <w:rsid w:val="00AA1DF5"/>
    <w:rsid w:val="00AA42E0"/>
    <w:rsid w:val="00AB6AAA"/>
    <w:rsid w:val="00AC140B"/>
    <w:rsid w:val="00AE3004"/>
    <w:rsid w:val="00AE67AE"/>
    <w:rsid w:val="00AF15FF"/>
    <w:rsid w:val="00AF4AB1"/>
    <w:rsid w:val="00AF7B5D"/>
    <w:rsid w:val="00B01C45"/>
    <w:rsid w:val="00B04016"/>
    <w:rsid w:val="00B04E6B"/>
    <w:rsid w:val="00B179CE"/>
    <w:rsid w:val="00B2722A"/>
    <w:rsid w:val="00B2788C"/>
    <w:rsid w:val="00B33F4D"/>
    <w:rsid w:val="00B35FE1"/>
    <w:rsid w:val="00B44CF1"/>
    <w:rsid w:val="00B44DAD"/>
    <w:rsid w:val="00B76283"/>
    <w:rsid w:val="00B82447"/>
    <w:rsid w:val="00B83D98"/>
    <w:rsid w:val="00B90446"/>
    <w:rsid w:val="00B94669"/>
    <w:rsid w:val="00BA21DE"/>
    <w:rsid w:val="00BC6B2F"/>
    <w:rsid w:val="00BD413B"/>
    <w:rsid w:val="00BE0679"/>
    <w:rsid w:val="00BE263E"/>
    <w:rsid w:val="00BE3C8E"/>
    <w:rsid w:val="00BF237B"/>
    <w:rsid w:val="00BF62C8"/>
    <w:rsid w:val="00C12AEA"/>
    <w:rsid w:val="00C22AA2"/>
    <w:rsid w:val="00C2559E"/>
    <w:rsid w:val="00C3181D"/>
    <w:rsid w:val="00C32538"/>
    <w:rsid w:val="00C32EEF"/>
    <w:rsid w:val="00C3617D"/>
    <w:rsid w:val="00C40A53"/>
    <w:rsid w:val="00C40AE3"/>
    <w:rsid w:val="00C41683"/>
    <w:rsid w:val="00C4616E"/>
    <w:rsid w:val="00C467F8"/>
    <w:rsid w:val="00C51D37"/>
    <w:rsid w:val="00C54D01"/>
    <w:rsid w:val="00C562C3"/>
    <w:rsid w:val="00C624F8"/>
    <w:rsid w:val="00C6305D"/>
    <w:rsid w:val="00C63524"/>
    <w:rsid w:val="00C64C0E"/>
    <w:rsid w:val="00C77287"/>
    <w:rsid w:val="00C912A8"/>
    <w:rsid w:val="00CB5772"/>
    <w:rsid w:val="00CB6382"/>
    <w:rsid w:val="00CC5A27"/>
    <w:rsid w:val="00CD185E"/>
    <w:rsid w:val="00CD6B2F"/>
    <w:rsid w:val="00CE0E69"/>
    <w:rsid w:val="00D009CD"/>
    <w:rsid w:val="00D038FD"/>
    <w:rsid w:val="00D134B6"/>
    <w:rsid w:val="00D221E5"/>
    <w:rsid w:val="00D23F35"/>
    <w:rsid w:val="00D2700A"/>
    <w:rsid w:val="00D362E9"/>
    <w:rsid w:val="00D44CC3"/>
    <w:rsid w:val="00D45EE0"/>
    <w:rsid w:val="00D47730"/>
    <w:rsid w:val="00D507DD"/>
    <w:rsid w:val="00D55B92"/>
    <w:rsid w:val="00D56378"/>
    <w:rsid w:val="00D57B4A"/>
    <w:rsid w:val="00D6228E"/>
    <w:rsid w:val="00D72271"/>
    <w:rsid w:val="00D72663"/>
    <w:rsid w:val="00D743B3"/>
    <w:rsid w:val="00D8415B"/>
    <w:rsid w:val="00D8590F"/>
    <w:rsid w:val="00D87697"/>
    <w:rsid w:val="00D907DF"/>
    <w:rsid w:val="00DA0E9E"/>
    <w:rsid w:val="00DB3C4B"/>
    <w:rsid w:val="00DB6975"/>
    <w:rsid w:val="00DC580F"/>
    <w:rsid w:val="00DC7B85"/>
    <w:rsid w:val="00DD7595"/>
    <w:rsid w:val="00DD7A0F"/>
    <w:rsid w:val="00DE3515"/>
    <w:rsid w:val="00DE38B6"/>
    <w:rsid w:val="00DF44B1"/>
    <w:rsid w:val="00DF7CA0"/>
    <w:rsid w:val="00E05617"/>
    <w:rsid w:val="00E104DD"/>
    <w:rsid w:val="00E13415"/>
    <w:rsid w:val="00E147F4"/>
    <w:rsid w:val="00E271FB"/>
    <w:rsid w:val="00E40B42"/>
    <w:rsid w:val="00E53EC9"/>
    <w:rsid w:val="00E736ED"/>
    <w:rsid w:val="00E80488"/>
    <w:rsid w:val="00E859C5"/>
    <w:rsid w:val="00EA2915"/>
    <w:rsid w:val="00EA36AC"/>
    <w:rsid w:val="00EC2B55"/>
    <w:rsid w:val="00EE3024"/>
    <w:rsid w:val="00EE414E"/>
    <w:rsid w:val="00EE4286"/>
    <w:rsid w:val="00EF2C89"/>
    <w:rsid w:val="00EF3375"/>
    <w:rsid w:val="00EF6158"/>
    <w:rsid w:val="00F010D3"/>
    <w:rsid w:val="00F06FE1"/>
    <w:rsid w:val="00F07039"/>
    <w:rsid w:val="00F07053"/>
    <w:rsid w:val="00F075DC"/>
    <w:rsid w:val="00F14BEE"/>
    <w:rsid w:val="00F248F2"/>
    <w:rsid w:val="00F26C13"/>
    <w:rsid w:val="00F30668"/>
    <w:rsid w:val="00F32BBC"/>
    <w:rsid w:val="00F42270"/>
    <w:rsid w:val="00F47845"/>
    <w:rsid w:val="00F56748"/>
    <w:rsid w:val="00F57D54"/>
    <w:rsid w:val="00F62D0B"/>
    <w:rsid w:val="00F738DA"/>
    <w:rsid w:val="00F76BAE"/>
    <w:rsid w:val="00F92AB3"/>
    <w:rsid w:val="00F9586B"/>
    <w:rsid w:val="00FA0FF7"/>
    <w:rsid w:val="00FA54D8"/>
    <w:rsid w:val="00FB0922"/>
    <w:rsid w:val="00FB34D3"/>
    <w:rsid w:val="00FB4676"/>
    <w:rsid w:val="00FC1382"/>
    <w:rsid w:val="00FC5774"/>
    <w:rsid w:val="00FC6054"/>
    <w:rsid w:val="00FD5C6B"/>
    <w:rsid w:val="00FD6BDA"/>
    <w:rsid w:val="00FF01D8"/>
    <w:rsid w:val="00FF2666"/>
    <w:rsid w:val="00FF3035"/>
    <w:rsid w:val="3BED9FA1"/>
    <w:rsid w:val="5FFFAF4E"/>
    <w:rsid w:val="777F7846"/>
    <w:rsid w:val="77B939A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28B4A9F"/>
  <w15:docId w15:val="{6514BC0E-3000-4E04-B832-3F24765F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Times New Roman" w:hAnsi="Verdana"/>
      <w:szCs w:val="24"/>
      <w:lang w:val="fr-FR" w:eastAsia="fr-FR"/>
    </w:rPr>
  </w:style>
  <w:style w:type="paragraph" w:styleId="Titre1">
    <w:name w:val="heading 1"/>
    <w:basedOn w:val="Normal"/>
    <w:next w:val="Normal"/>
    <w:qFormat/>
    <w:pPr>
      <w:keepNext/>
      <w:spacing w:before="240" w:after="60"/>
      <w:jc w:val="center"/>
      <w:outlineLvl w:val="0"/>
    </w:pPr>
    <w:rPr>
      <w:rFonts w:cs="Arial"/>
      <w:b/>
      <w:bCs/>
      <w:color w:val="365F91"/>
      <w:kern w:val="32"/>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Corpsdetexte">
    <w:name w:val="Body Text"/>
    <w:basedOn w:val="Normal"/>
    <w:qFormat/>
    <w:pPr>
      <w:jc w:val="both"/>
    </w:pPr>
    <w:rPr>
      <w:rFonts w:ascii="New York" w:hAnsi="New York"/>
      <w:szCs w:val="20"/>
    </w:rPr>
  </w:style>
  <w:style w:type="paragraph" w:styleId="Corpsdetexte2">
    <w:name w:val="Body Text 2"/>
    <w:basedOn w:val="Normal"/>
    <w:link w:val="Corpsdetexte2Car"/>
    <w:qFormat/>
    <w:rPr>
      <w:i/>
      <w:iCs/>
    </w:rPr>
  </w:style>
  <w:style w:type="paragraph" w:styleId="Retraitcorpsdetexte">
    <w:name w:val="Body Text Indent"/>
    <w:basedOn w:val="Normal"/>
    <w:qFormat/>
    <w:pPr>
      <w:ind w:left="360"/>
    </w:pPr>
    <w:rPr>
      <w:i/>
      <w:iCs/>
    </w:rPr>
  </w:style>
  <w:style w:type="paragraph" w:styleId="Retraitcorpsdetexte2">
    <w:name w:val="Body Text Indent 2"/>
    <w:basedOn w:val="Normal"/>
    <w:qFormat/>
    <w:pPr>
      <w:ind w:left="360"/>
    </w:pPr>
  </w:style>
  <w:style w:type="paragraph" w:styleId="Commentaire">
    <w:name w:val="annotation text"/>
    <w:basedOn w:val="Normal"/>
    <w:uiPriority w:val="99"/>
    <w:semiHidden/>
    <w:unhideWhenUsed/>
    <w:qFormat/>
  </w:style>
  <w:style w:type="paragraph" w:styleId="Pieddepage">
    <w:name w:val="footer"/>
    <w:basedOn w:val="Normal"/>
    <w:qFormat/>
    <w:pPr>
      <w:tabs>
        <w:tab w:val="center" w:pos="4536"/>
        <w:tab w:val="right" w:pos="9072"/>
      </w:tabs>
    </w:pPr>
  </w:style>
  <w:style w:type="character" w:styleId="Appelnotedebasdep">
    <w:name w:val="footnote reference"/>
    <w:semiHidden/>
    <w:qFormat/>
    <w:rPr>
      <w:vertAlign w:val="superscript"/>
    </w:rPr>
  </w:style>
  <w:style w:type="paragraph" w:styleId="Notedebasdepage">
    <w:name w:val="footnote text"/>
    <w:basedOn w:val="Normal"/>
    <w:semiHidden/>
    <w:qFormat/>
    <w:pPr>
      <w:tabs>
        <w:tab w:val="left" w:pos="2595"/>
      </w:tabs>
      <w:jc w:val="both"/>
    </w:pPr>
    <w:rPr>
      <w:rFonts w:ascii="Garamond" w:hAnsi="Garamond"/>
      <w:szCs w:val="20"/>
      <w:lang w:eastAsia="nl-NL"/>
    </w:rPr>
  </w:style>
  <w:style w:type="character" w:styleId="Lienhypertexte">
    <w:name w:val="Hyperlink"/>
    <w:uiPriority w:val="99"/>
    <w:unhideWhenUsed/>
    <w:qFormat/>
    <w:rPr>
      <w:color w:val="0000FF"/>
      <w:u w:val="single"/>
    </w:rPr>
  </w:style>
  <w:style w:type="character" w:styleId="Numrodepage">
    <w:name w:val="page number"/>
    <w:basedOn w:val="Policepardfaut"/>
    <w:qFormat/>
  </w:style>
  <w:style w:type="paragraph" w:styleId="Salutations">
    <w:name w:val="Salutation"/>
    <w:basedOn w:val="Normal"/>
    <w:next w:val="Normal"/>
    <w:qFormat/>
    <w:rPr>
      <w:lang w:val="nl-NL" w:eastAsia="nl-NL"/>
    </w:rPr>
  </w:style>
  <w:style w:type="paragraph" w:styleId="Titre">
    <w:name w:val="Title"/>
    <w:basedOn w:val="Normal"/>
    <w:next w:val="Normal"/>
    <w:link w:val="TitreCar"/>
    <w:uiPriority w:val="10"/>
    <w:qFormat/>
    <w:pPr>
      <w:numPr>
        <w:numId w:val="1"/>
      </w:numPr>
      <w:pBdr>
        <w:top w:val="single" w:sz="4" w:space="1" w:color="auto"/>
        <w:left w:val="single" w:sz="4" w:space="4" w:color="auto"/>
        <w:bottom w:val="single" w:sz="4" w:space="1" w:color="auto"/>
        <w:right w:val="single" w:sz="4" w:space="4" w:color="auto"/>
      </w:pBdr>
      <w:shd w:val="clear" w:color="auto" w:fill="FBD4B4" w:themeFill="accent6" w:themeFillTint="66"/>
      <w:spacing w:before="240" w:after="60" w:line="360" w:lineRule="auto"/>
      <w:ind w:left="360"/>
      <w:outlineLvl w:val="0"/>
    </w:pPr>
    <w:rPr>
      <w:b/>
      <w:bCs/>
      <w:kern w:val="28"/>
      <w:sz w:val="22"/>
      <w:szCs w:val="32"/>
    </w:rPr>
  </w:style>
  <w:style w:type="character" w:customStyle="1" w:styleId="IntenseEmphasis1">
    <w:name w:val="Intense Emphasis1"/>
    <w:uiPriority w:val="21"/>
    <w:qFormat/>
    <w:rPr>
      <w:b/>
      <w:bCs/>
      <w:i/>
      <w:iCs/>
      <w:color w:val="4F81BD"/>
    </w:rPr>
  </w:style>
  <w:style w:type="character" w:customStyle="1" w:styleId="TitreCar">
    <w:name w:val="Titre Car"/>
    <w:link w:val="Titre"/>
    <w:uiPriority w:val="10"/>
    <w:qFormat/>
    <w:rPr>
      <w:rFonts w:ascii="Verdana" w:eastAsia="Times New Roman" w:hAnsi="Verdana"/>
      <w:b/>
      <w:bCs/>
      <w:kern w:val="28"/>
      <w:sz w:val="22"/>
      <w:szCs w:val="32"/>
      <w:shd w:val="clear" w:color="auto" w:fill="FBD4B4" w:themeFill="accent6" w:themeFillTint="66"/>
    </w:rPr>
  </w:style>
  <w:style w:type="paragraph" w:styleId="Sansinterligne">
    <w:name w:val="No Spacing"/>
    <w:uiPriority w:val="1"/>
    <w:qFormat/>
    <w:rPr>
      <w:rFonts w:eastAsia="Times New Roman"/>
      <w:sz w:val="16"/>
      <w:szCs w:val="24"/>
      <w:lang w:val="fr-FR" w:eastAsia="fr-FR"/>
    </w:rPr>
  </w:style>
  <w:style w:type="paragraph" w:styleId="Paragraphedeliste">
    <w:name w:val="List Paragraph"/>
    <w:basedOn w:val="Normal"/>
    <w:uiPriority w:val="34"/>
    <w:qFormat/>
    <w:pPr>
      <w:ind w:left="720"/>
    </w:pPr>
  </w:style>
  <w:style w:type="character" w:customStyle="1" w:styleId="TextedebullesCar">
    <w:name w:val="Texte de bulles Car"/>
    <w:basedOn w:val="Policepardfaut"/>
    <w:link w:val="Textedebulles"/>
    <w:uiPriority w:val="99"/>
    <w:semiHidden/>
    <w:qFormat/>
    <w:rPr>
      <w:rFonts w:ascii="Tahoma" w:eastAsia="Times New Roman" w:hAnsi="Tahoma" w:cs="Tahoma"/>
      <w:sz w:val="16"/>
      <w:szCs w:val="16"/>
    </w:rPr>
  </w:style>
  <w:style w:type="paragraph" w:customStyle="1" w:styleId="Default">
    <w:name w:val="Default"/>
    <w:qFormat/>
    <w:pPr>
      <w:autoSpaceDE w:val="0"/>
      <w:autoSpaceDN w:val="0"/>
      <w:adjustRightInd w:val="0"/>
    </w:pPr>
    <w:rPr>
      <w:rFonts w:ascii="Calibri" w:hAnsi="Calibri" w:cs="Calibri"/>
      <w:color w:val="000000"/>
      <w:sz w:val="24"/>
      <w:szCs w:val="24"/>
      <w:lang w:val="fr-FR" w:eastAsia="fr-FR"/>
    </w:rPr>
  </w:style>
  <w:style w:type="character" w:customStyle="1" w:styleId="Corpsdetexte2Car">
    <w:name w:val="Corps de texte 2 Car"/>
    <w:basedOn w:val="Policepardfaut"/>
    <w:link w:val="Corpsdetexte2"/>
    <w:qFormat/>
    <w:rPr>
      <w:rFonts w:ascii="Verdana" w:eastAsia="Times New Roman" w:hAnsi="Verdana"/>
      <w:i/>
      <w:iCs/>
      <w:szCs w:val="24"/>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semiHidden/>
    <w:unhideWhenUsed/>
    <w:rsid w:val="008B12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3227</Words>
  <Characters>18505</Characters>
  <Application>Microsoft Office Word</Application>
  <DocSecurity>4</DocSecurity>
  <Lines>154</Lines>
  <Paragraphs>43</Paragraphs>
  <ScaleCrop>false</ScaleCrop>
  <HeadingPairs>
    <vt:vector size="2" baseType="variant">
      <vt:variant>
        <vt:lpstr>Titre</vt:lpstr>
      </vt:variant>
      <vt:variant>
        <vt:i4>1</vt:i4>
      </vt:variant>
    </vt:vector>
  </HeadingPairs>
  <TitlesOfParts>
    <vt:vector size="1" baseType="lpstr">
      <vt:lpstr>Termes de référence pour l’évaluation de l’action en RDC, Goma</vt:lpstr>
    </vt:vector>
  </TitlesOfParts>
  <Company>etmkdw</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Termes de référence pour l’évaluation de l’action en RDC, Goma</dc:title>
  <dc:creator>licensed</dc:creator>
  <cp:lastModifiedBy>Catherine Delvosal</cp:lastModifiedBy>
  <cp:revision>2</cp:revision>
  <cp:lastPrinted>2015-06-25T12:23:00Z</cp:lastPrinted>
  <dcterms:created xsi:type="dcterms:W3CDTF">2025-10-21T15:29:00Z</dcterms:created>
  <dcterms:modified xsi:type="dcterms:W3CDTF">2025-10-21T15:29:00Z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1033-4.8.0.7823</vt:lpwstr>
  </property>
  <property fmtid="{D5CDD505-2E9C-101B-9397-08002B2CF9AE}" pid="3" name="GrammarlyDocumentId">
    <vt:lpwstr>825355a0-5609-4aff-b733-0616355209e5</vt:lpwstr>
  </property>
</Properties>
</file>