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31F" w:rsidRPr="00594FE8" w:rsidRDefault="00B660A7" w:rsidP="00B660A7">
      <w:pPr>
        <w:jc w:val="right"/>
        <w:rPr>
          <w:i/>
        </w:rPr>
      </w:pPr>
      <w:r w:rsidRPr="00594FE8">
        <w:rPr>
          <w:i/>
        </w:rPr>
        <w:t xml:space="preserve">Date : </w:t>
      </w:r>
      <w:r w:rsidR="00CD15F7">
        <w:rPr>
          <w:i/>
        </w:rPr>
        <w:t>20/01/2025</w:t>
      </w:r>
    </w:p>
    <w:p w:rsidR="00B660A7" w:rsidRPr="00EB575A" w:rsidRDefault="00B660A7" w:rsidP="00B660A7">
      <w:pPr>
        <w:jc w:val="right"/>
      </w:pPr>
    </w:p>
    <w:p w:rsidR="009F1BE7" w:rsidRPr="00D917C6" w:rsidRDefault="00B660A7" w:rsidP="00D917C6">
      <w:pPr>
        <w:jc w:val="center"/>
        <w:rPr>
          <w:rFonts w:ascii="DM Sans" w:hAnsi="DM Sans"/>
          <w:color w:val="003347"/>
          <w:sz w:val="32"/>
          <w:szCs w:val="32"/>
        </w:rPr>
      </w:pPr>
      <w:r>
        <w:rPr>
          <w:rFonts w:ascii="DM Sans" w:hAnsi="DM Sans"/>
          <w:color w:val="003347"/>
          <w:sz w:val="32"/>
          <w:szCs w:val="32"/>
        </w:rPr>
        <w:t xml:space="preserve">Appel d’offres : </w:t>
      </w:r>
      <w:r w:rsidR="00CD15F7">
        <w:rPr>
          <w:rFonts w:ascii="DM Sans" w:hAnsi="DM Sans"/>
          <w:color w:val="003347"/>
          <w:sz w:val="32"/>
          <w:szCs w:val="32"/>
        </w:rPr>
        <w:t>Cycle de formations en plaidoyer</w:t>
      </w:r>
    </w:p>
    <w:p w:rsidR="003D731F" w:rsidRDefault="003D731F" w:rsidP="003D731F"/>
    <w:p w:rsidR="003D731F" w:rsidRDefault="005A7DAE" w:rsidP="003D731F">
      <w:pPr>
        <w:pStyle w:val="Titre1"/>
      </w:pPr>
      <w:r>
        <w:t>1. Commanditaire</w:t>
      </w:r>
    </w:p>
    <w:p w:rsidR="005A7DAE" w:rsidRPr="003142BB" w:rsidRDefault="005A7DAE" w:rsidP="005A7DAE">
      <w:r w:rsidRPr="003142BB">
        <w:t xml:space="preserve">ACODEV, Fédération francophone </w:t>
      </w:r>
      <w:r>
        <w:t xml:space="preserve">et germanophone </w:t>
      </w:r>
      <w:r w:rsidRPr="003142BB">
        <w:t xml:space="preserve">des </w:t>
      </w:r>
      <w:r>
        <w:t>associations</w:t>
      </w:r>
      <w:r w:rsidRPr="003142BB">
        <w:t xml:space="preserve"> </w:t>
      </w:r>
      <w:r>
        <w:t>de coopération au développement</w:t>
      </w:r>
    </w:p>
    <w:p w:rsidR="005A7DAE" w:rsidRPr="003142BB" w:rsidRDefault="005A7DAE" w:rsidP="00336528">
      <w:r w:rsidRPr="003142BB">
        <w:t>Quai d</w:t>
      </w:r>
      <w:r w:rsidR="00336528">
        <w:t>u commerce 9, 1000 Bruxelles - Té</w:t>
      </w:r>
      <w:r w:rsidRPr="003142BB">
        <w:t xml:space="preserve">l : </w:t>
      </w:r>
      <w:r w:rsidRPr="005A7DAE">
        <w:t>+32 (0)2 219 88 55</w:t>
      </w:r>
      <w:r w:rsidR="00336528">
        <w:t xml:space="preserve"> -</w:t>
      </w:r>
      <w:r w:rsidR="00336528">
        <w:rPr>
          <w:rFonts w:cs="Arial"/>
          <w:color w:val="000000" w:themeColor="text1"/>
        </w:rPr>
        <w:t xml:space="preserve"> </w:t>
      </w:r>
      <w:hyperlink r:id="rId7" w:history="1">
        <w:r w:rsidR="00336528" w:rsidRPr="00EC51F1">
          <w:rPr>
            <w:rStyle w:val="Lienhypertexte"/>
            <w:rFonts w:cs="Arial"/>
          </w:rPr>
          <w:t>www.acodev.be</w:t>
        </w:r>
      </w:hyperlink>
    </w:p>
    <w:p w:rsidR="005A7DAE" w:rsidRPr="005A7DAE" w:rsidRDefault="005A7DAE" w:rsidP="005A7DAE">
      <w:pPr>
        <w:rPr>
          <w:rFonts w:cs="Arial"/>
          <w:color w:val="000000" w:themeColor="text1"/>
        </w:rPr>
      </w:pPr>
      <w:r w:rsidRPr="003142BB">
        <w:rPr>
          <w:rFonts w:cs="Arial"/>
          <w:color w:val="000000" w:themeColor="text1"/>
        </w:rPr>
        <w:t>BCE 0462279234 - RPM de Bruxelles</w:t>
      </w:r>
    </w:p>
    <w:p w:rsidR="005A7DAE" w:rsidRPr="003142BB" w:rsidRDefault="005A7DAE" w:rsidP="005A7DAE">
      <w:r w:rsidRPr="003142BB">
        <w:t xml:space="preserve">Responsable : Raphaël Maldague, Directeur. </w:t>
      </w:r>
    </w:p>
    <w:p w:rsidR="005A7DAE" w:rsidRDefault="005A7DAE" w:rsidP="005A7DAE">
      <w:r w:rsidRPr="003142BB">
        <w:rPr>
          <w:b/>
        </w:rPr>
        <w:t>Personne de contact pour cette mission</w:t>
      </w:r>
      <w:r w:rsidRPr="003142BB">
        <w:t xml:space="preserve"> : </w:t>
      </w:r>
      <w:r w:rsidR="00CD15F7">
        <w:t>Anita Safi Diazila, email : asd@acodev.be</w:t>
      </w:r>
      <w:r>
        <w:t xml:space="preserve"> </w:t>
      </w:r>
    </w:p>
    <w:p w:rsidR="005A7DAE" w:rsidRDefault="005A7DAE" w:rsidP="005A7DAE"/>
    <w:p w:rsidR="005A7DAE" w:rsidRDefault="005A7DAE" w:rsidP="005A7DAE">
      <w:pPr>
        <w:pStyle w:val="Titre1"/>
      </w:pPr>
      <w:r>
        <w:t>2. Contexte</w:t>
      </w:r>
    </w:p>
    <w:p w:rsidR="005A7DAE" w:rsidRPr="003142BB" w:rsidRDefault="005A7DAE" w:rsidP="005A7DAE">
      <w:pPr>
        <w:spacing w:line="276" w:lineRule="auto"/>
        <w:rPr>
          <w:szCs w:val="20"/>
        </w:rPr>
      </w:pPr>
      <w:r w:rsidRPr="003142BB">
        <w:rPr>
          <w:szCs w:val="20"/>
        </w:rPr>
        <w:t xml:space="preserve">ACODEV est la fédération des organisations de la société civile (OSC), francophones et germanophones, </w:t>
      </w:r>
      <w:r>
        <w:rPr>
          <w:szCs w:val="20"/>
        </w:rPr>
        <w:t>actives dans la solidarité internationale et l’aide humanitaire</w:t>
      </w:r>
      <w:r w:rsidRPr="003142BB">
        <w:rPr>
          <w:szCs w:val="20"/>
        </w:rPr>
        <w:t xml:space="preserve">. L’une de ses missions est de renforcer les capacités professionnelles des </w:t>
      </w:r>
      <w:r>
        <w:rPr>
          <w:szCs w:val="20"/>
        </w:rPr>
        <w:t>68</w:t>
      </w:r>
      <w:r w:rsidRPr="003142BB">
        <w:rPr>
          <w:szCs w:val="20"/>
        </w:rPr>
        <w:t xml:space="preserve"> OSC membres, en fonction du contexte institutionnel et opérationnel dans lequel le secteur évolue.</w:t>
      </w:r>
    </w:p>
    <w:p w:rsidR="00CD15F7" w:rsidRDefault="00CD15F7" w:rsidP="00CD15F7">
      <w:pPr>
        <w:spacing w:line="276" w:lineRule="auto"/>
      </w:pPr>
      <w:r w:rsidRPr="0076464E">
        <w:t xml:space="preserve">Le </w:t>
      </w:r>
      <w:r>
        <w:t>plaidoyer</w:t>
      </w:r>
      <w:r w:rsidRPr="0076464E">
        <w:t xml:space="preserve"> pren</w:t>
      </w:r>
      <w:r>
        <w:t xml:space="preserve">d </w:t>
      </w:r>
      <w:r w:rsidRPr="0076464E">
        <w:t>de plus en plus d'importance dans l</w:t>
      </w:r>
      <w:r>
        <w:t xml:space="preserve">es stratégies d’influence des OSC et </w:t>
      </w:r>
      <w:r w:rsidRPr="0076464E">
        <w:t xml:space="preserve">dans la mise en œuvre des interventions de développement. </w:t>
      </w:r>
      <w:r>
        <w:t xml:space="preserve">Ces dernières années, les OSC ont </w:t>
      </w:r>
      <w:r w:rsidR="00CF4A7A">
        <w:t xml:space="preserve">donc opté pour un renforcement des compétences de leurs équipes à ce niveau. </w:t>
      </w:r>
    </w:p>
    <w:p w:rsidR="00CD15F7" w:rsidRDefault="00CD15F7" w:rsidP="00CD15F7">
      <w:pPr>
        <w:spacing w:line="276" w:lineRule="auto"/>
      </w:pPr>
      <w:r>
        <w:t>. Il existe également un besoin de formation plus approfondie pour les collaborateurs de</w:t>
      </w:r>
      <w:r w:rsidR="00CF4A7A">
        <w:t>s</w:t>
      </w:r>
      <w:bookmarkStart w:id="0" w:name="_GoBack"/>
      <w:r w:rsidR="00BC10DD">
        <w:t xml:space="preserve"> </w:t>
      </w:r>
      <w:bookmarkEnd w:id="0"/>
      <w:r>
        <w:t xml:space="preserve">OSC ayant une plus grande expérience du plaidoyer et souhaitant s’améliorer ou prendre du recul par rapport à leurs pratiques. </w:t>
      </w:r>
    </w:p>
    <w:p w:rsidR="00CD15F7" w:rsidRDefault="00CD15F7" w:rsidP="00CD15F7">
      <w:pPr>
        <w:spacing w:line="276" w:lineRule="auto"/>
      </w:pPr>
      <w:r>
        <w:t xml:space="preserve">Pour répondre à ces besoins, ACODEV souhaite apporter un soutien à ses OSC membres en mutualisant un service de formation en plaidoyer. Cet appel d’offre a donc pour objectif de sélectionner un prestataire de service afin de mettre en œuvre un cycle de formations pour des personnes ayant un niveau débutant </w:t>
      </w:r>
      <w:r w:rsidR="00CF4A7A">
        <w:t xml:space="preserve">et </w:t>
      </w:r>
      <w:r>
        <w:t xml:space="preserve">un niveau intermédiaire/confirmé, durant les deux prochaines années, à savoir de 2025 à 2026 compris.  </w:t>
      </w:r>
    </w:p>
    <w:p w:rsidR="005A7DAE" w:rsidRDefault="005A7DAE" w:rsidP="005A7DAE">
      <w:pPr>
        <w:rPr>
          <w:szCs w:val="20"/>
        </w:rPr>
      </w:pPr>
    </w:p>
    <w:p w:rsidR="005A7DAE" w:rsidRPr="005A7DAE" w:rsidRDefault="005A7DAE" w:rsidP="005A7DAE">
      <w:pPr>
        <w:pStyle w:val="Titre1"/>
      </w:pPr>
      <w:r>
        <w:t>3. Contenu de la formation</w:t>
      </w:r>
    </w:p>
    <w:p w:rsidR="00107E47" w:rsidRPr="003142BB" w:rsidRDefault="00107E47" w:rsidP="00107E47">
      <w:pPr>
        <w:pStyle w:val="Titre2"/>
        <w:rPr>
          <w:rFonts w:ascii="Inter" w:hAnsi="Inter"/>
          <w:sz w:val="20"/>
        </w:rPr>
      </w:pPr>
      <w:r>
        <w:t>3.1. Concept et cible</w:t>
      </w:r>
    </w:p>
    <w:p w:rsidR="00107E47" w:rsidRDefault="00107E47" w:rsidP="00107E47">
      <w:pPr>
        <w:spacing w:line="276" w:lineRule="auto"/>
      </w:pPr>
      <w:r>
        <w:t>Le cycle de formation en plaidoyer s’étale sur deux ans au rythme de deux formations par an en alternant un niveau débutant et un niveau intermédiaire/confirmé. En 2025, il sera organisé deux formations en plaidoyer : une pour le niveau débutant et une autre pour le niveau intermédiaire/confirmé. Il en sera de même pour 2026.</w:t>
      </w:r>
    </w:p>
    <w:p w:rsidR="00107E47" w:rsidRDefault="00107E47" w:rsidP="00107E47">
      <w:pPr>
        <w:spacing w:line="276" w:lineRule="auto"/>
      </w:pPr>
      <w:r>
        <w:lastRenderedPageBreak/>
        <w:t>Les</w:t>
      </w:r>
      <w:r w:rsidRPr="00884510">
        <w:t xml:space="preserve"> formation</w:t>
      </w:r>
      <w:r>
        <w:t>s</w:t>
      </w:r>
      <w:r w:rsidRPr="00884510">
        <w:t xml:space="preserve"> proposée</w:t>
      </w:r>
      <w:r>
        <w:t>s</w:t>
      </w:r>
      <w:r w:rsidRPr="00884510">
        <w:t xml:space="preserve"> s’adresse</w:t>
      </w:r>
      <w:r>
        <w:t>nt soit</w:t>
      </w:r>
      <w:r w:rsidRPr="00884510">
        <w:t xml:space="preserve"> au</w:t>
      </w:r>
      <w:r>
        <w:t>x</w:t>
      </w:r>
      <w:r w:rsidRPr="00884510">
        <w:t xml:space="preserve"> </w:t>
      </w:r>
      <w:proofErr w:type="spellStart"/>
      <w:r>
        <w:t>chargé</w:t>
      </w:r>
      <w:r w:rsidR="00186DB4">
        <w:t>·es</w:t>
      </w:r>
      <w:proofErr w:type="spellEnd"/>
      <w:r w:rsidR="00186DB4">
        <w:t xml:space="preserve"> </w:t>
      </w:r>
      <w:r>
        <w:t xml:space="preserve">de plaidoyer </w:t>
      </w:r>
      <w:proofErr w:type="spellStart"/>
      <w:r>
        <w:t>débutant</w:t>
      </w:r>
      <w:r w:rsidR="00186DB4">
        <w:t>·es</w:t>
      </w:r>
      <w:proofErr w:type="spellEnd"/>
      <w:r>
        <w:t xml:space="preserve"> et aux membres du personnel d’OSC membres d’ACODEV, qui ont depuis récemment une tâche de plaidoyer dans leur fonction, soit aux </w:t>
      </w:r>
      <w:proofErr w:type="spellStart"/>
      <w:r w:rsidR="00186DB4">
        <w:t>chargé·es</w:t>
      </w:r>
      <w:proofErr w:type="spellEnd"/>
      <w:r>
        <w:t xml:space="preserve"> de plaidoyer </w:t>
      </w:r>
      <w:proofErr w:type="spellStart"/>
      <w:r>
        <w:t>expérimenté</w:t>
      </w:r>
      <w:r w:rsidR="00186DB4">
        <w:t>·es</w:t>
      </w:r>
      <w:proofErr w:type="spellEnd"/>
      <w:r w:rsidR="00186DB4">
        <w:t xml:space="preserve"> </w:t>
      </w:r>
      <w:r>
        <w:t xml:space="preserve">et aux membres du personnel d’OSC membres d’ACODEV, qui ont des tâches de plaidoyer dans leur fonction et qui souhaitent accroître leur efficacité. Il s’agît de groupes francophones. Les formations doivent être dispensées </w:t>
      </w:r>
      <w:r>
        <w:rPr>
          <w:b/>
          <w:u w:val="single"/>
        </w:rPr>
        <w:t>en français</w:t>
      </w:r>
      <w:r>
        <w:t>.</w:t>
      </w:r>
    </w:p>
    <w:p w:rsidR="00107E47" w:rsidRPr="002C59A4" w:rsidRDefault="00107E47" w:rsidP="00107E47">
      <w:pPr>
        <w:spacing w:line="276" w:lineRule="auto"/>
      </w:pPr>
      <w:r w:rsidRPr="00410750">
        <w:t xml:space="preserve">Il est prévu de former </w:t>
      </w:r>
      <w:r w:rsidRPr="00A11756">
        <w:rPr>
          <w:b/>
          <w:u w:val="single"/>
        </w:rPr>
        <w:t xml:space="preserve">entre 15 et 20 </w:t>
      </w:r>
      <w:r>
        <w:rPr>
          <w:b/>
          <w:u w:val="single"/>
        </w:rPr>
        <w:t>personnes</w:t>
      </w:r>
      <w:r w:rsidRPr="00C850A8">
        <w:t xml:space="preserve"> par formation</w:t>
      </w:r>
      <w:r>
        <w:t>. Les formations ne seront confirmées que si minimum 10 personnes s’y sont inscrites</w:t>
      </w:r>
      <w:r w:rsidRPr="00410750">
        <w:t>.</w:t>
      </w:r>
      <w:r>
        <w:t xml:space="preserve"> Il est donc possible qu’une formation soit annulée ou reportée. </w:t>
      </w:r>
    </w:p>
    <w:p w:rsidR="00107E47" w:rsidRDefault="00107E47" w:rsidP="00107E47">
      <w:pPr>
        <w:spacing w:line="276" w:lineRule="auto"/>
        <w:rPr>
          <w:szCs w:val="20"/>
        </w:rPr>
      </w:pPr>
      <w:r>
        <w:t>Afin d’affiner le programme des</w:t>
      </w:r>
      <w:r w:rsidRPr="002A1BAE">
        <w:t xml:space="preserve"> formation</w:t>
      </w:r>
      <w:r>
        <w:t>s</w:t>
      </w:r>
      <w:r w:rsidRPr="002A1BAE">
        <w:t xml:space="preserve">, lorsque les </w:t>
      </w:r>
      <w:r>
        <w:t>personnes s’inscrivent à une</w:t>
      </w:r>
      <w:r w:rsidRPr="002A1BAE">
        <w:t xml:space="preserve"> formation, </w:t>
      </w:r>
      <w:r>
        <w:t>ACODEV peut</w:t>
      </w:r>
      <w:r w:rsidRPr="002A1BAE">
        <w:t xml:space="preserve"> se charger de leur poser des questions sur leurs attentes par rapport à la formation et su</w:t>
      </w:r>
      <w:r>
        <w:t>r leurs connaissances</w:t>
      </w:r>
      <w:r w:rsidRPr="002A1BAE">
        <w:t xml:space="preserve"> en </w:t>
      </w:r>
      <w:r>
        <w:t>plaidoyer</w:t>
      </w:r>
      <w:r w:rsidRPr="002A1BAE">
        <w:t xml:space="preserve">. Ces informations seront transmises </w:t>
      </w:r>
      <w:r>
        <w:t>aux formateurs ou forma</w:t>
      </w:r>
      <w:r w:rsidRPr="002A1BAE">
        <w:t xml:space="preserve">trices au moins une semaine avant la formation. Si les </w:t>
      </w:r>
      <w:r>
        <w:t>formateurs ou forma</w:t>
      </w:r>
      <w:r w:rsidRPr="002A1BAE">
        <w:t>trices le souhaitent, il</w:t>
      </w:r>
      <w:r>
        <w:t xml:space="preserve"> est possible d’</w:t>
      </w:r>
      <w:r w:rsidRPr="002A1BAE">
        <w:t xml:space="preserve">introduire des questions spécifiques relatives aux attentes et aux connaissances des futurs </w:t>
      </w:r>
      <w:proofErr w:type="spellStart"/>
      <w:r w:rsidRPr="002A1BAE">
        <w:t>participant</w:t>
      </w:r>
      <w:r w:rsidR="00186DB4">
        <w:t>·e</w:t>
      </w:r>
      <w:r>
        <w:t>s</w:t>
      </w:r>
      <w:proofErr w:type="spellEnd"/>
      <w:r>
        <w:t xml:space="preserve"> </w:t>
      </w:r>
      <w:r w:rsidRPr="002A1BAE">
        <w:t xml:space="preserve">dans leur offre. </w:t>
      </w:r>
    </w:p>
    <w:p w:rsidR="003D731F" w:rsidRPr="003D731F" w:rsidRDefault="00107E47" w:rsidP="003D731F">
      <w:pPr>
        <w:pStyle w:val="Titre2"/>
      </w:pPr>
      <w:r>
        <w:t>3.2</w:t>
      </w:r>
      <w:r w:rsidR="005A7DAE">
        <w:t>. Objectifs et résultats attendus</w:t>
      </w:r>
    </w:p>
    <w:p w:rsidR="00107E47" w:rsidRPr="00107E47" w:rsidRDefault="00107E47" w:rsidP="00107E47">
      <w:pPr>
        <w:numPr>
          <w:ilvl w:val="0"/>
          <w:numId w:val="10"/>
        </w:numPr>
        <w:rPr>
          <w:b/>
          <w:szCs w:val="20"/>
          <w:u w:val="single"/>
        </w:rPr>
      </w:pPr>
      <w:r w:rsidRPr="00107E47">
        <w:rPr>
          <w:b/>
          <w:szCs w:val="20"/>
          <w:u w:val="single"/>
        </w:rPr>
        <w:t>Objectif</w:t>
      </w:r>
      <w:r>
        <w:rPr>
          <w:b/>
          <w:szCs w:val="20"/>
          <w:u w:val="single"/>
        </w:rPr>
        <w:t>s</w:t>
      </w:r>
    </w:p>
    <w:p w:rsidR="00107E47" w:rsidRPr="00107E47" w:rsidRDefault="00107E47" w:rsidP="00107E47">
      <w:pPr>
        <w:numPr>
          <w:ilvl w:val="1"/>
          <w:numId w:val="10"/>
        </w:numPr>
        <w:rPr>
          <w:b/>
          <w:szCs w:val="20"/>
          <w:u w:val="single"/>
        </w:rPr>
      </w:pPr>
      <w:r w:rsidRPr="00107E47">
        <w:rPr>
          <w:b/>
          <w:szCs w:val="20"/>
          <w:u w:val="single"/>
        </w:rPr>
        <w:t>Formations niveau débutant</w:t>
      </w:r>
    </w:p>
    <w:p w:rsidR="00107E47" w:rsidRPr="00107E47" w:rsidRDefault="00107E47" w:rsidP="00107E47">
      <w:pPr>
        <w:rPr>
          <w:szCs w:val="20"/>
        </w:rPr>
      </w:pPr>
      <w:r w:rsidRPr="00107E47">
        <w:rPr>
          <w:b/>
          <w:szCs w:val="20"/>
        </w:rPr>
        <w:t xml:space="preserve">Objectif général : </w:t>
      </w:r>
      <w:r w:rsidRPr="00107E47">
        <w:rPr>
          <w:szCs w:val="20"/>
        </w:rPr>
        <w:t>Acquérir des connaissances et des compétences pour élaborer une stratégie de plaidoyer et la mettre en œuvre.</w:t>
      </w:r>
    </w:p>
    <w:p w:rsidR="00107E47" w:rsidRPr="00107E47" w:rsidRDefault="00107E47" w:rsidP="00107E47">
      <w:pPr>
        <w:spacing w:after="0"/>
        <w:rPr>
          <w:b/>
          <w:szCs w:val="20"/>
        </w:rPr>
      </w:pPr>
      <w:r w:rsidRPr="00107E47">
        <w:rPr>
          <w:b/>
          <w:szCs w:val="20"/>
        </w:rPr>
        <w:t>Objectifs spécifiques :</w:t>
      </w:r>
    </w:p>
    <w:p w:rsidR="00107E47" w:rsidRPr="00107E47" w:rsidRDefault="00107E47" w:rsidP="00107E47">
      <w:pPr>
        <w:numPr>
          <w:ilvl w:val="0"/>
          <w:numId w:val="12"/>
        </w:numPr>
        <w:spacing w:after="0"/>
        <w:rPr>
          <w:szCs w:val="20"/>
        </w:rPr>
      </w:pPr>
      <w:r w:rsidRPr="00107E47">
        <w:rPr>
          <w:szCs w:val="20"/>
        </w:rPr>
        <w:t>Comprendre comment le plaidoyer peut influencer le changement, en complément à d'autres modes d'action ;</w:t>
      </w:r>
    </w:p>
    <w:p w:rsidR="00107E47" w:rsidRPr="00107E47" w:rsidRDefault="00107E47" w:rsidP="00107E47">
      <w:pPr>
        <w:numPr>
          <w:ilvl w:val="0"/>
          <w:numId w:val="12"/>
        </w:numPr>
        <w:spacing w:after="0"/>
        <w:rPr>
          <w:szCs w:val="20"/>
        </w:rPr>
      </w:pPr>
      <w:r w:rsidRPr="00107E47">
        <w:rPr>
          <w:szCs w:val="20"/>
        </w:rPr>
        <w:t>Apprendre à développer une stratégie de plaidoyer en utilisant les étapes du cycle de plaidoyer ;</w:t>
      </w:r>
    </w:p>
    <w:p w:rsidR="00107E47" w:rsidRPr="00107E47" w:rsidRDefault="00107E47" w:rsidP="00107E47">
      <w:pPr>
        <w:numPr>
          <w:ilvl w:val="0"/>
          <w:numId w:val="12"/>
        </w:numPr>
        <w:spacing w:after="0"/>
        <w:rPr>
          <w:szCs w:val="20"/>
        </w:rPr>
      </w:pPr>
      <w:r w:rsidRPr="00107E47">
        <w:rPr>
          <w:szCs w:val="20"/>
        </w:rPr>
        <w:t>Découvrir des méthodes d’identification des problèmes, du contexte, des parties prenantes et des capacités d’une organisation ;</w:t>
      </w:r>
    </w:p>
    <w:p w:rsidR="00107E47" w:rsidRPr="00107E47" w:rsidRDefault="00107E47" w:rsidP="00107E47">
      <w:pPr>
        <w:numPr>
          <w:ilvl w:val="0"/>
          <w:numId w:val="12"/>
        </w:numPr>
        <w:spacing w:after="0"/>
        <w:rPr>
          <w:szCs w:val="20"/>
        </w:rPr>
      </w:pPr>
      <w:r w:rsidRPr="00107E47">
        <w:rPr>
          <w:szCs w:val="20"/>
        </w:rPr>
        <w:t>Connaître des outils, des techniques et des tactiques d'influence ;</w:t>
      </w:r>
    </w:p>
    <w:p w:rsidR="00107E47" w:rsidRPr="00107E47" w:rsidRDefault="00107E47" w:rsidP="00107E47">
      <w:pPr>
        <w:numPr>
          <w:ilvl w:val="0"/>
          <w:numId w:val="12"/>
        </w:numPr>
        <w:spacing w:after="0"/>
        <w:rPr>
          <w:szCs w:val="20"/>
        </w:rPr>
      </w:pPr>
      <w:r w:rsidRPr="00107E47">
        <w:rPr>
          <w:szCs w:val="20"/>
        </w:rPr>
        <w:t>Savoir utiliser une méthode de suivi et évaluation appropriée au plaidoyer.</w:t>
      </w:r>
    </w:p>
    <w:p w:rsidR="00107E47" w:rsidRPr="00107E47" w:rsidRDefault="00107E47" w:rsidP="00107E47">
      <w:pPr>
        <w:rPr>
          <w:b/>
          <w:szCs w:val="20"/>
          <w:u w:val="single"/>
        </w:rPr>
      </w:pPr>
    </w:p>
    <w:p w:rsidR="00107E47" w:rsidRPr="00107E47" w:rsidRDefault="00107E47" w:rsidP="00107E47">
      <w:pPr>
        <w:numPr>
          <w:ilvl w:val="1"/>
          <w:numId w:val="10"/>
        </w:numPr>
        <w:rPr>
          <w:b/>
          <w:szCs w:val="20"/>
          <w:u w:val="single"/>
        </w:rPr>
      </w:pPr>
      <w:r w:rsidRPr="00107E47">
        <w:rPr>
          <w:b/>
          <w:szCs w:val="20"/>
          <w:u w:val="single"/>
        </w:rPr>
        <w:t>Formations niveau intermédiaire/confirmé</w:t>
      </w:r>
    </w:p>
    <w:p w:rsidR="00107E47" w:rsidRPr="00107E47" w:rsidRDefault="00107E47" w:rsidP="00107E47">
      <w:pPr>
        <w:rPr>
          <w:szCs w:val="20"/>
        </w:rPr>
      </w:pPr>
      <w:r w:rsidRPr="00107E47">
        <w:rPr>
          <w:b/>
          <w:szCs w:val="20"/>
        </w:rPr>
        <w:t xml:space="preserve">Objectif général : </w:t>
      </w:r>
      <w:r w:rsidRPr="00107E47">
        <w:rPr>
          <w:szCs w:val="20"/>
        </w:rPr>
        <w:t>Perfectionner ses connaissances et ses compétences pour maîtriser les méthodologies et techniques de plaidoyer.</w:t>
      </w:r>
    </w:p>
    <w:p w:rsidR="00107E47" w:rsidRPr="00107E47" w:rsidRDefault="00107E47" w:rsidP="00107E47">
      <w:pPr>
        <w:spacing w:after="0"/>
        <w:rPr>
          <w:b/>
          <w:szCs w:val="20"/>
        </w:rPr>
      </w:pPr>
      <w:r w:rsidRPr="00107E47">
        <w:rPr>
          <w:b/>
          <w:szCs w:val="20"/>
        </w:rPr>
        <w:t>Objectifs spécifiques :</w:t>
      </w:r>
    </w:p>
    <w:p w:rsidR="00107E47" w:rsidRPr="00107E47" w:rsidRDefault="00107E47" w:rsidP="00107E47">
      <w:pPr>
        <w:numPr>
          <w:ilvl w:val="0"/>
          <w:numId w:val="12"/>
        </w:numPr>
        <w:spacing w:after="0"/>
        <w:rPr>
          <w:szCs w:val="20"/>
        </w:rPr>
      </w:pPr>
      <w:r w:rsidRPr="00107E47">
        <w:rPr>
          <w:szCs w:val="20"/>
        </w:rPr>
        <w:t>Prise de recul sur ses propres pratiques d’élaboration et de mise en œuvre de stratégie de plaidoyer ;</w:t>
      </w:r>
    </w:p>
    <w:p w:rsidR="00107E47" w:rsidRPr="00107E47" w:rsidRDefault="00107E47" w:rsidP="00107E47">
      <w:pPr>
        <w:numPr>
          <w:ilvl w:val="0"/>
          <w:numId w:val="12"/>
        </w:numPr>
        <w:spacing w:after="0"/>
        <w:rPr>
          <w:szCs w:val="20"/>
        </w:rPr>
      </w:pPr>
      <w:r w:rsidRPr="00107E47">
        <w:rPr>
          <w:szCs w:val="20"/>
        </w:rPr>
        <w:t>Approfondir les capacités de développement de plan stratégique de plaidoyer ;</w:t>
      </w:r>
    </w:p>
    <w:p w:rsidR="00107E47" w:rsidRPr="00107E47" w:rsidRDefault="00107E47" w:rsidP="00107E47">
      <w:pPr>
        <w:numPr>
          <w:ilvl w:val="0"/>
          <w:numId w:val="12"/>
        </w:numPr>
        <w:spacing w:after="0"/>
        <w:rPr>
          <w:szCs w:val="20"/>
        </w:rPr>
      </w:pPr>
      <w:r w:rsidRPr="00107E47">
        <w:rPr>
          <w:szCs w:val="20"/>
        </w:rPr>
        <w:t>Perfectionner la pratique des outils, techniques et tactiques d'influence ;</w:t>
      </w:r>
    </w:p>
    <w:p w:rsidR="00107E47" w:rsidRPr="00107E47" w:rsidRDefault="00107E47" w:rsidP="00107E47">
      <w:pPr>
        <w:numPr>
          <w:ilvl w:val="0"/>
          <w:numId w:val="12"/>
        </w:numPr>
        <w:spacing w:after="0"/>
        <w:rPr>
          <w:szCs w:val="20"/>
        </w:rPr>
      </w:pPr>
      <w:r w:rsidRPr="00107E47">
        <w:rPr>
          <w:szCs w:val="20"/>
        </w:rPr>
        <w:t>Améliorer la méthode de suivi, évaluation et capitalisation de plaidoyer.</w:t>
      </w:r>
    </w:p>
    <w:p w:rsidR="00107E47" w:rsidRPr="00107E47" w:rsidRDefault="00107E47" w:rsidP="00107E47">
      <w:pPr>
        <w:rPr>
          <w:szCs w:val="20"/>
        </w:rPr>
      </w:pPr>
    </w:p>
    <w:p w:rsidR="00107E47" w:rsidRPr="00107E47" w:rsidRDefault="00107E47" w:rsidP="00107E47">
      <w:pPr>
        <w:numPr>
          <w:ilvl w:val="0"/>
          <w:numId w:val="10"/>
        </w:numPr>
        <w:jc w:val="left"/>
        <w:rPr>
          <w:b/>
          <w:szCs w:val="20"/>
          <w:u w:val="single"/>
        </w:rPr>
      </w:pPr>
      <w:r w:rsidRPr="00107E47">
        <w:rPr>
          <w:b/>
          <w:szCs w:val="20"/>
          <w:u w:val="single"/>
        </w:rPr>
        <w:t>Résultats attendus</w:t>
      </w:r>
    </w:p>
    <w:p w:rsidR="00107E47" w:rsidRPr="00107E47" w:rsidRDefault="00107E47" w:rsidP="00107E47">
      <w:pPr>
        <w:numPr>
          <w:ilvl w:val="1"/>
          <w:numId w:val="10"/>
        </w:numPr>
        <w:rPr>
          <w:b/>
          <w:szCs w:val="20"/>
          <w:u w:val="single"/>
        </w:rPr>
      </w:pPr>
      <w:r w:rsidRPr="00107E47">
        <w:rPr>
          <w:b/>
          <w:szCs w:val="20"/>
          <w:u w:val="single"/>
        </w:rPr>
        <w:t>Formations niveau débutant</w:t>
      </w:r>
    </w:p>
    <w:p w:rsidR="00107E47" w:rsidRPr="00107E47" w:rsidRDefault="00107E47" w:rsidP="00107E47">
      <w:pPr>
        <w:numPr>
          <w:ilvl w:val="0"/>
          <w:numId w:val="12"/>
        </w:numPr>
        <w:spacing w:after="0"/>
        <w:rPr>
          <w:szCs w:val="20"/>
        </w:rPr>
      </w:pPr>
      <w:r w:rsidRPr="00107E47">
        <w:rPr>
          <w:szCs w:val="20"/>
        </w:rPr>
        <w:t xml:space="preserve">Être capable de distinguer une approche de plaidoyer d’autres techniques d’influence pour atteindre un objectif de changement. </w:t>
      </w:r>
    </w:p>
    <w:p w:rsidR="00107E47" w:rsidRPr="00107E47" w:rsidRDefault="00107E47" w:rsidP="00107E47">
      <w:pPr>
        <w:numPr>
          <w:ilvl w:val="0"/>
          <w:numId w:val="12"/>
        </w:numPr>
        <w:spacing w:after="0"/>
        <w:rPr>
          <w:szCs w:val="20"/>
        </w:rPr>
      </w:pPr>
      <w:r w:rsidRPr="00107E47">
        <w:rPr>
          <w:szCs w:val="20"/>
        </w:rPr>
        <w:t>Maîtriser les étapes d’élaboration d’une stratégie de plaidoyer, de l’analyse du contexte à son suivi et évaluation, et être capable de l’utiliser pour son organisation.</w:t>
      </w:r>
    </w:p>
    <w:p w:rsidR="00107E47" w:rsidRPr="00107E47" w:rsidRDefault="00107E47" w:rsidP="00107E47">
      <w:pPr>
        <w:numPr>
          <w:ilvl w:val="0"/>
          <w:numId w:val="12"/>
        </w:numPr>
        <w:spacing w:after="0"/>
        <w:rPr>
          <w:szCs w:val="20"/>
        </w:rPr>
      </w:pPr>
      <w:r w:rsidRPr="00107E47">
        <w:rPr>
          <w:szCs w:val="20"/>
        </w:rPr>
        <w:t xml:space="preserve">Être capable d’analyser les diverses parties prenantes influant un processus décisionnel et de déterminer les cibles et alliés en fonction de priorités stratégiques. </w:t>
      </w:r>
    </w:p>
    <w:p w:rsidR="00107E47" w:rsidRPr="00107E47" w:rsidRDefault="00107E47" w:rsidP="00107E47">
      <w:pPr>
        <w:numPr>
          <w:ilvl w:val="0"/>
          <w:numId w:val="12"/>
        </w:numPr>
        <w:spacing w:after="0"/>
        <w:rPr>
          <w:szCs w:val="20"/>
        </w:rPr>
      </w:pPr>
      <w:r w:rsidRPr="00107E47">
        <w:rPr>
          <w:szCs w:val="20"/>
        </w:rPr>
        <w:lastRenderedPageBreak/>
        <w:t xml:space="preserve">Être capable de choisir l’outil ou la tactique appropriée pour atteindre son objectif de changement. </w:t>
      </w:r>
    </w:p>
    <w:p w:rsidR="00107E47" w:rsidRPr="00107E47" w:rsidRDefault="00107E47" w:rsidP="00107E47">
      <w:pPr>
        <w:numPr>
          <w:ilvl w:val="0"/>
          <w:numId w:val="12"/>
        </w:numPr>
        <w:spacing w:after="0"/>
        <w:rPr>
          <w:b/>
          <w:szCs w:val="20"/>
          <w:u w:val="single"/>
        </w:rPr>
      </w:pPr>
      <w:r w:rsidRPr="00107E47">
        <w:rPr>
          <w:szCs w:val="20"/>
        </w:rPr>
        <w:t xml:space="preserve">Pouvoir élaborer un plan de suivi, évaluation et capitalisation adapté à sa stratégie de plaidoyer. </w:t>
      </w:r>
    </w:p>
    <w:p w:rsidR="00107E47" w:rsidRPr="00107E47" w:rsidRDefault="00107E47" w:rsidP="00107E47">
      <w:pPr>
        <w:rPr>
          <w:b/>
          <w:szCs w:val="20"/>
          <w:u w:val="single"/>
        </w:rPr>
      </w:pPr>
    </w:p>
    <w:p w:rsidR="00107E47" w:rsidRPr="00107E47" w:rsidRDefault="00107E47" w:rsidP="00107E47">
      <w:pPr>
        <w:numPr>
          <w:ilvl w:val="1"/>
          <w:numId w:val="10"/>
        </w:numPr>
        <w:rPr>
          <w:b/>
          <w:szCs w:val="20"/>
          <w:u w:val="single"/>
        </w:rPr>
      </w:pPr>
      <w:r w:rsidRPr="00107E47">
        <w:rPr>
          <w:b/>
          <w:szCs w:val="20"/>
          <w:u w:val="single"/>
        </w:rPr>
        <w:t>Formations niveau intermédiaire/confirmé</w:t>
      </w:r>
    </w:p>
    <w:p w:rsidR="00107E47" w:rsidRPr="00107E47" w:rsidRDefault="00107E47" w:rsidP="00107E47">
      <w:pPr>
        <w:numPr>
          <w:ilvl w:val="0"/>
          <w:numId w:val="13"/>
        </w:numPr>
        <w:spacing w:after="0"/>
        <w:rPr>
          <w:szCs w:val="20"/>
        </w:rPr>
      </w:pPr>
      <w:r w:rsidRPr="00107E47">
        <w:rPr>
          <w:szCs w:val="20"/>
        </w:rPr>
        <w:t>Avoir une vision générale et structurée du cycle de plaidoyer et des pistes concrètes d'amélioration de son plan stratégique ;</w:t>
      </w:r>
    </w:p>
    <w:p w:rsidR="00107E47" w:rsidRPr="00107E47" w:rsidRDefault="00107E47" w:rsidP="00107E47">
      <w:pPr>
        <w:numPr>
          <w:ilvl w:val="0"/>
          <w:numId w:val="13"/>
        </w:numPr>
        <w:spacing w:after="0"/>
        <w:rPr>
          <w:szCs w:val="20"/>
        </w:rPr>
      </w:pPr>
      <w:r w:rsidRPr="00107E47">
        <w:rPr>
          <w:szCs w:val="20"/>
        </w:rPr>
        <w:t>Maîtriser les outils et techniques d'élaboration d'un plan stratégique de plaidoyer ;</w:t>
      </w:r>
    </w:p>
    <w:p w:rsidR="00107E47" w:rsidRPr="00107E47" w:rsidRDefault="00107E47" w:rsidP="00107E47">
      <w:pPr>
        <w:numPr>
          <w:ilvl w:val="0"/>
          <w:numId w:val="13"/>
        </w:numPr>
        <w:spacing w:after="0"/>
        <w:rPr>
          <w:szCs w:val="20"/>
        </w:rPr>
      </w:pPr>
      <w:r w:rsidRPr="00107E47">
        <w:rPr>
          <w:szCs w:val="20"/>
        </w:rPr>
        <w:t xml:space="preserve">Maîtriser les supports écrits de plaidoyer et leurs utilisations (rapport, </w:t>
      </w:r>
      <w:proofErr w:type="spellStart"/>
      <w:r w:rsidRPr="00107E47">
        <w:rPr>
          <w:szCs w:val="20"/>
        </w:rPr>
        <w:t>brief</w:t>
      </w:r>
      <w:proofErr w:type="spellEnd"/>
      <w:r w:rsidRPr="00107E47">
        <w:rPr>
          <w:szCs w:val="20"/>
        </w:rPr>
        <w:t>, note, communiqué, blog, etc.) ;</w:t>
      </w:r>
    </w:p>
    <w:p w:rsidR="00107E47" w:rsidRPr="00107E47" w:rsidRDefault="00107E47" w:rsidP="00107E47">
      <w:pPr>
        <w:numPr>
          <w:ilvl w:val="0"/>
          <w:numId w:val="13"/>
        </w:numPr>
        <w:spacing w:after="0"/>
        <w:rPr>
          <w:szCs w:val="20"/>
        </w:rPr>
      </w:pPr>
      <w:r w:rsidRPr="00107E47">
        <w:rPr>
          <w:szCs w:val="20"/>
        </w:rPr>
        <w:t>Maîtriser les aspects relationnels du plaidoyer (lobby, relations administration, premier rdv, etc.) ;</w:t>
      </w:r>
    </w:p>
    <w:p w:rsidR="00107E47" w:rsidRPr="00107E47" w:rsidRDefault="00107E47" w:rsidP="00107E47">
      <w:pPr>
        <w:numPr>
          <w:ilvl w:val="0"/>
          <w:numId w:val="13"/>
        </w:numPr>
        <w:spacing w:after="0"/>
        <w:rPr>
          <w:szCs w:val="20"/>
        </w:rPr>
      </w:pPr>
      <w:r w:rsidRPr="00107E47">
        <w:rPr>
          <w:szCs w:val="20"/>
        </w:rPr>
        <w:t>Savoir développer un plan de communication et média en relation avec un objectif de plaidoyer ;</w:t>
      </w:r>
    </w:p>
    <w:p w:rsidR="00107E47" w:rsidRPr="00107E47" w:rsidRDefault="00107E47" w:rsidP="00107E47">
      <w:pPr>
        <w:numPr>
          <w:ilvl w:val="0"/>
          <w:numId w:val="13"/>
        </w:numPr>
        <w:spacing w:after="0"/>
        <w:rPr>
          <w:szCs w:val="20"/>
        </w:rPr>
      </w:pPr>
      <w:r w:rsidRPr="00107E47">
        <w:rPr>
          <w:szCs w:val="20"/>
        </w:rPr>
        <w:t>Être capable de canaliser une action de plaidoyer pour la rendre plus efficace et de s'adapter à un changement soudain de facteur externe ;</w:t>
      </w:r>
    </w:p>
    <w:p w:rsidR="00107E47" w:rsidRPr="00107E47" w:rsidRDefault="00107E47" w:rsidP="00107E47">
      <w:pPr>
        <w:numPr>
          <w:ilvl w:val="0"/>
          <w:numId w:val="13"/>
        </w:numPr>
        <w:spacing w:after="0"/>
        <w:rPr>
          <w:szCs w:val="20"/>
        </w:rPr>
      </w:pPr>
      <w:r w:rsidRPr="00107E47">
        <w:rPr>
          <w:szCs w:val="20"/>
        </w:rPr>
        <w:t>Savoir mesurer l’impact d’une stratégie de plaidoyer et capitaliser pour accroître son pouvoir d'influence.</w:t>
      </w:r>
    </w:p>
    <w:p w:rsidR="00CA14D8" w:rsidRDefault="00CA14D8" w:rsidP="005A7DAE">
      <w:pPr>
        <w:rPr>
          <w:szCs w:val="20"/>
        </w:rPr>
      </w:pPr>
    </w:p>
    <w:p w:rsidR="00A702A9" w:rsidRDefault="00A702A9" w:rsidP="005A7DAE"/>
    <w:p w:rsidR="008648B0" w:rsidRDefault="008648B0" w:rsidP="008648B0">
      <w:pPr>
        <w:pStyle w:val="Titre1"/>
      </w:pPr>
      <w:r>
        <w:t xml:space="preserve">4. </w:t>
      </w:r>
      <w:r w:rsidR="00A702A9">
        <w:t>Calendrier, durée et format de la formation</w:t>
      </w:r>
    </w:p>
    <w:p w:rsidR="00343110" w:rsidRDefault="00343110" w:rsidP="00343110">
      <w:pPr>
        <w:spacing w:line="276" w:lineRule="auto"/>
      </w:pPr>
      <w:r>
        <w:t xml:space="preserve">Le cycle de formation vise l’organisation de </w:t>
      </w:r>
      <w:r>
        <w:rPr>
          <w:b/>
          <w:u w:val="single"/>
        </w:rPr>
        <w:t>4</w:t>
      </w:r>
      <w:r w:rsidRPr="00515AA3">
        <w:rPr>
          <w:b/>
          <w:u w:val="single"/>
        </w:rPr>
        <w:t xml:space="preserve"> formations</w:t>
      </w:r>
      <w:r w:rsidRPr="00BC6F9B">
        <w:t xml:space="preserve"> à </w:t>
      </w:r>
      <w:r>
        <w:t>dispenser durant la période de 2 ans (de 2025 à 2026</w:t>
      </w:r>
      <w:r w:rsidRPr="00BC6F9B">
        <w:t xml:space="preserve"> compris). </w:t>
      </w:r>
    </w:p>
    <w:p w:rsidR="00343110" w:rsidRPr="00515AA3" w:rsidRDefault="00343110" w:rsidP="00343110">
      <w:pPr>
        <w:rPr>
          <w:rFonts w:cstheme="minorHAnsi"/>
          <w:bdr w:val="none" w:sz="0" w:space="0" w:color="auto" w:frame="1"/>
          <w:lang w:bidi="fr-BE"/>
        </w:rPr>
      </w:pPr>
      <w:r>
        <w:t>Le contrat est d’une durée de 2 ans.</w:t>
      </w:r>
    </w:p>
    <w:p w:rsidR="00343110" w:rsidRDefault="00343110" w:rsidP="00343110">
      <w:pPr>
        <w:spacing w:line="276" w:lineRule="auto"/>
      </w:pPr>
      <w:r>
        <w:t xml:space="preserve">Chaque formation doit être prévue </w:t>
      </w:r>
      <w:r w:rsidRPr="002A1BAE">
        <w:rPr>
          <w:b/>
          <w:u w:val="single"/>
        </w:rPr>
        <w:t>en format court</w:t>
      </w:r>
      <w:r>
        <w:t xml:space="preserve"> (sur 2 journées au total maximum) en présentiel </w:t>
      </w:r>
      <w:r w:rsidRPr="001810D6">
        <w:rPr>
          <w:b/>
          <w:u w:val="single"/>
        </w:rPr>
        <w:t>à Bruxelles</w:t>
      </w:r>
      <w:r>
        <w:t>.</w:t>
      </w:r>
    </w:p>
    <w:p w:rsidR="00343110" w:rsidRDefault="00343110" w:rsidP="00343110">
      <w:pPr>
        <w:spacing w:line="276" w:lineRule="auto"/>
      </w:pPr>
      <w:r>
        <w:t xml:space="preserve">Une des deux formations aura lieu au premier semestre (entre mars et mai) et la seconde aura lieu au deuxième semestre (entre octobre et novembre). </w:t>
      </w:r>
    </w:p>
    <w:p w:rsidR="00343110" w:rsidRDefault="00343110" w:rsidP="00343110">
      <w:r>
        <w:t xml:space="preserve">Une première réunion de cadrage sera organisée après sélection de l’offre, </w:t>
      </w:r>
      <w:r>
        <w:rPr>
          <w:b/>
        </w:rPr>
        <w:t>début mars 2025</w:t>
      </w:r>
      <w:r>
        <w:t>, afin de préciser les attentes, le calendrier et le programme exact des formations pour 2025 et le calendrier et programme prévisionnel pour 2026.</w:t>
      </w:r>
    </w:p>
    <w:p w:rsidR="008648B0" w:rsidRDefault="008648B0" w:rsidP="008648B0">
      <w:pPr>
        <w:rPr>
          <w:szCs w:val="20"/>
        </w:rPr>
      </w:pPr>
    </w:p>
    <w:p w:rsidR="008648B0" w:rsidRDefault="00CA14D8" w:rsidP="00CA14D8">
      <w:pPr>
        <w:pStyle w:val="Titre1"/>
      </w:pPr>
      <w:r>
        <w:t xml:space="preserve">5. </w:t>
      </w:r>
      <w:r w:rsidR="008648B0">
        <w:t>Modalités pratiques et méthodologie</w:t>
      </w:r>
    </w:p>
    <w:p w:rsidR="008648B0" w:rsidRDefault="00CA14D8" w:rsidP="00CA14D8">
      <w:pPr>
        <w:pStyle w:val="Titre2"/>
      </w:pPr>
      <w:r>
        <w:t>5.1. Approche méthodologique et langue de la formation</w:t>
      </w:r>
    </w:p>
    <w:p w:rsidR="008648B0" w:rsidRPr="003142BB" w:rsidRDefault="008648B0" w:rsidP="008648B0">
      <w:pPr>
        <w:spacing w:line="276" w:lineRule="auto"/>
        <w:rPr>
          <w:szCs w:val="20"/>
        </w:rPr>
      </w:pPr>
      <w:r w:rsidRPr="003142BB">
        <w:rPr>
          <w:szCs w:val="20"/>
        </w:rPr>
        <w:t>L’approche formative doit allier théorie et pratique, même si la partie pratique doit être la composante principale de la formation, à partir des exemples concrets liés à la réalité des O</w:t>
      </w:r>
      <w:r w:rsidR="00CA14D8">
        <w:rPr>
          <w:szCs w:val="20"/>
        </w:rPr>
        <w:t>SC</w:t>
      </w:r>
      <w:r w:rsidRPr="003142BB">
        <w:rPr>
          <w:szCs w:val="20"/>
        </w:rPr>
        <w:t xml:space="preserve"> membre</w:t>
      </w:r>
      <w:r w:rsidR="00CA14D8">
        <w:rPr>
          <w:szCs w:val="20"/>
        </w:rPr>
        <w:t>s d’ACODEV (volet Sud et Nord).</w:t>
      </w:r>
    </w:p>
    <w:p w:rsidR="008648B0" w:rsidRPr="003142BB" w:rsidRDefault="008648B0" w:rsidP="008648B0">
      <w:pPr>
        <w:spacing w:line="276" w:lineRule="auto"/>
        <w:rPr>
          <w:szCs w:val="20"/>
        </w:rPr>
      </w:pPr>
      <w:r w:rsidRPr="003142BB">
        <w:rPr>
          <w:szCs w:val="20"/>
        </w:rPr>
        <w:t>La participation acti</w:t>
      </w:r>
      <w:r w:rsidR="00CA14D8">
        <w:rPr>
          <w:szCs w:val="20"/>
        </w:rPr>
        <w:t xml:space="preserve">ve des </w:t>
      </w:r>
      <w:proofErr w:type="spellStart"/>
      <w:r w:rsidR="00CA14D8">
        <w:rPr>
          <w:szCs w:val="20"/>
        </w:rPr>
        <w:t>inscrit·e</w:t>
      </w:r>
      <w:r w:rsidRPr="003142BB">
        <w:rPr>
          <w:szCs w:val="20"/>
        </w:rPr>
        <w:t>s</w:t>
      </w:r>
      <w:proofErr w:type="spellEnd"/>
      <w:r w:rsidRPr="003142BB">
        <w:rPr>
          <w:szCs w:val="20"/>
        </w:rPr>
        <w:t xml:space="preserve"> devra être encouragée en tout moment. Une approche innovante sera aussi valorisée.</w:t>
      </w:r>
    </w:p>
    <w:p w:rsidR="008648B0" w:rsidRPr="003142BB" w:rsidRDefault="008648B0" w:rsidP="008648B0">
      <w:pPr>
        <w:spacing w:line="276" w:lineRule="auto"/>
        <w:rPr>
          <w:szCs w:val="20"/>
        </w:rPr>
      </w:pPr>
      <w:proofErr w:type="spellStart"/>
      <w:r w:rsidRPr="003142BB">
        <w:rPr>
          <w:szCs w:val="20"/>
        </w:rPr>
        <w:t>Le·la</w:t>
      </w:r>
      <w:proofErr w:type="spellEnd"/>
      <w:r w:rsidRPr="003142BB">
        <w:rPr>
          <w:szCs w:val="20"/>
        </w:rPr>
        <w:t xml:space="preserve"> </w:t>
      </w:r>
      <w:proofErr w:type="spellStart"/>
      <w:r w:rsidRPr="003142BB">
        <w:rPr>
          <w:szCs w:val="20"/>
        </w:rPr>
        <w:t>formateur·</w:t>
      </w:r>
      <w:r w:rsidR="00CA14D8">
        <w:rPr>
          <w:szCs w:val="20"/>
        </w:rPr>
        <w:t>t</w:t>
      </w:r>
      <w:r w:rsidRPr="003142BB">
        <w:rPr>
          <w:szCs w:val="20"/>
        </w:rPr>
        <w:t>rice</w:t>
      </w:r>
      <w:proofErr w:type="spellEnd"/>
      <w:r w:rsidRPr="003142BB">
        <w:rPr>
          <w:szCs w:val="20"/>
        </w:rPr>
        <w:t xml:space="preserve"> produit le matériel didactique en version électronique (en particulier les slides de présentation). </w:t>
      </w:r>
    </w:p>
    <w:p w:rsidR="008648B0" w:rsidRDefault="008648B0" w:rsidP="008648B0">
      <w:pPr>
        <w:spacing w:line="276" w:lineRule="auto"/>
        <w:rPr>
          <w:szCs w:val="20"/>
        </w:rPr>
      </w:pPr>
      <w:r w:rsidRPr="003142BB">
        <w:rPr>
          <w:szCs w:val="20"/>
        </w:rPr>
        <w:t xml:space="preserve">La formation se déroule en </w:t>
      </w:r>
      <w:r w:rsidRPr="003142BB">
        <w:rPr>
          <w:b/>
          <w:szCs w:val="20"/>
        </w:rPr>
        <w:t>français.</w:t>
      </w:r>
    </w:p>
    <w:p w:rsidR="00CA14D8" w:rsidRDefault="00CA14D8" w:rsidP="008648B0">
      <w:pPr>
        <w:spacing w:line="276" w:lineRule="auto"/>
        <w:rPr>
          <w:szCs w:val="20"/>
        </w:rPr>
      </w:pPr>
    </w:p>
    <w:p w:rsidR="00CA14D8" w:rsidRPr="003142BB" w:rsidRDefault="00CA14D8" w:rsidP="00CA14D8">
      <w:pPr>
        <w:pStyle w:val="Titre2"/>
        <w:rPr>
          <w:rFonts w:ascii="Inter" w:hAnsi="Inter"/>
          <w:sz w:val="20"/>
        </w:rPr>
      </w:pPr>
      <w:r>
        <w:lastRenderedPageBreak/>
        <w:t>5.2. Logistique</w:t>
      </w:r>
    </w:p>
    <w:p w:rsidR="008648B0" w:rsidRPr="003142BB" w:rsidRDefault="008648B0" w:rsidP="008648B0">
      <w:pPr>
        <w:spacing w:line="276" w:lineRule="auto"/>
        <w:rPr>
          <w:szCs w:val="20"/>
        </w:rPr>
      </w:pPr>
      <w:r w:rsidRPr="003142BB">
        <w:rPr>
          <w:szCs w:val="20"/>
        </w:rPr>
        <w:t xml:space="preserve">La formation se déroule de 9h15 à 17h00 avec deux pauses café (matin et après-midi) et un temps pour le lunch. </w:t>
      </w:r>
    </w:p>
    <w:p w:rsidR="008648B0" w:rsidRPr="003142BB" w:rsidRDefault="008648B0" w:rsidP="008648B0">
      <w:pPr>
        <w:spacing w:line="276" w:lineRule="auto"/>
        <w:rPr>
          <w:szCs w:val="20"/>
        </w:rPr>
      </w:pPr>
      <w:r w:rsidRPr="003142BB">
        <w:rPr>
          <w:szCs w:val="20"/>
        </w:rPr>
        <w:t>ACODEV se charge de :</w:t>
      </w:r>
    </w:p>
    <w:p w:rsidR="008648B0" w:rsidRPr="003142BB" w:rsidRDefault="00CA14D8" w:rsidP="008648B0">
      <w:pPr>
        <w:pStyle w:val="Paragraphedeliste"/>
        <w:numPr>
          <w:ilvl w:val="0"/>
          <w:numId w:val="3"/>
        </w:numPr>
        <w:spacing w:line="360" w:lineRule="auto"/>
        <w:jc w:val="both"/>
        <w:rPr>
          <w:rFonts w:ascii="Inter" w:hAnsi="Inter"/>
          <w:bCs/>
          <w:sz w:val="20"/>
          <w:szCs w:val="20"/>
        </w:rPr>
      </w:pPr>
      <w:r>
        <w:rPr>
          <w:rFonts w:ascii="Inter" w:hAnsi="Inter"/>
          <w:bCs/>
          <w:sz w:val="20"/>
          <w:szCs w:val="20"/>
        </w:rPr>
        <w:t xml:space="preserve">L’inscription des </w:t>
      </w:r>
      <w:proofErr w:type="spellStart"/>
      <w:r>
        <w:rPr>
          <w:rFonts w:ascii="Inter" w:hAnsi="Inter"/>
          <w:bCs/>
          <w:sz w:val="20"/>
          <w:szCs w:val="20"/>
        </w:rPr>
        <w:t>participant·e</w:t>
      </w:r>
      <w:r w:rsidR="008648B0" w:rsidRPr="003142BB">
        <w:rPr>
          <w:rFonts w:ascii="Inter" w:hAnsi="Inter"/>
          <w:bCs/>
          <w:sz w:val="20"/>
          <w:szCs w:val="20"/>
        </w:rPr>
        <w:t>s</w:t>
      </w:r>
      <w:proofErr w:type="spellEnd"/>
      <w:r w:rsidR="008648B0" w:rsidRPr="003142BB">
        <w:rPr>
          <w:rFonts w:ascii="Inter" w:hAnsi="Inter"/>
          <w:bCs/>
          <w:sz w:val="20"/>
          <w:szCs w:val="20"/>
        </w:rPr>
        <w:t> ;</w:t>
      </w:r>
    </w:p>
    <w:p w:rsidR="008648B0" w:rsidRPr="003142BB" w:rsidRDefault="008648B0" w:rsidP="008648B0">
      <w:pPr>
        <w:pStyle w:val="Paragraphedeliste"/>
        <w:numPr>
          <w:ilvl w:val="0"/>
          <w:numId w:val="3"/>
        </w:numPr>
        <w:spacing w:line="360" w:lineRule="auto"/>
        <w:jc w:val="both"/>
        <w:rPr>
          <w:rFonts w:ascii="Inter" w:hAnsi="Inter"/>
          <w:bCs/>
          <w:sz w:val="20"/>
          <w:szCs w:val="20"/>
        </w:rPr>
      </w:pPr>
      <w:r w:rsidRPr="003142BB">
        <w:rPr>
          <w:rFonts w:ascii="Inter" w:hAnsi="Inter"/>
          <w:bCs/>
          <w:sz w:val="20"/>
          <w:szCs w:val="20"/>
        </w:rPr>
        <w:t xml:space="preserve">La logistique (la location de la salle, l’accueil des </w:t>
      </w:r>
      <w:proofErr w:type="spellStart"/>
      <w:r w:rsidRPr="003142BB">
        <w:rPr>
          <w:rFonts w:ascii="Inter" w:hAnsi="Inter"/>
          <w:bCs/>
          <w:sz w:val="20"/>
          <w:szCs w:val="20"/>
        </w:rPr>
        <w:t>participant</w:t>
      </w:r>
      <w:r w:rsidR="00CA14D8">
        <w:rPr>
          <w:rFonts w:ascii="Inter" w:hAnsi="Inter"/>
          <w:bCs/>
          <w:sz w:val="20"/>
          <w:szCs w:val="20"/>
        </w:rPr>
        <w:t>·e</w:t>
      </w:r>
      <w:r w:rsidRPr="003142BB">
        <w:rPr>
          <w:rFonts w:ascii="Inter" w:hAnsi="Inter"/>
          <w:bCs/>
          <w:sz w:val="20"/>
          <w:szCs w:val="20"/>
        </w:rPr>
        <w:t>s</w:t>
      </w:r>
      <w:proofErr w:type="spellEnd"/>
      <w:r w:rsidRPr="003142BB">
        <w:rPr>
          <w:rFonts w:ascii="Inter" w:hAnsi="Inter"/>
          <w:bCs/>
          <w:sz w:val="20"/>
          <w:szCs w:val="20"/>
        </w:rPr>
        <w:t xml:space="preserve">, le café, les repas sandwich, la mise à disposition d’un ordinateur, d’un rétroprojecteur, </w:t>
      </w:r>
      <w:r w:rsidR="00CA14D8">
        <w:rPr>
          <w:rFonts w:ascii="Inter" w:hAnsi="Inter"/>
          <w:bCs/>
          <w:sz w:val="20"/>
          <w:szCs w:val="20"/>
        </w:rPr>
        <w:t>d’</w:t>
      </w:r>
      <w:r w:rsidRPr="003142BB">
        <w:rPr>
          <w:rFonts w:ascii="Inter" w:hAnsi="Inter"/>
          <w:bCs/>
          <w:sz w:val="20"/>
          <w:szCs w:val="20"/>
        </w:rPr>
        <w:t xml:space="preserve">un </w:t>
      </w:r>
      <w:proofErr w:type="spellStart"/>
      <w:r w:rsidRPr="003142BB">
        <w:rPr>
          <w:rFonts w:ascii="Inter" w:hAnsi="Inter"/>
          <w:bCs/>
          <w:sz w:val="20"/>
          <w:szCs w:val="20"/>
        </w:rPr>
        <w:t>flipchart</w:t>
      </w:r>
      <w:proofErr w:type="spellEnd"/>
      <w:r w:rsidRPr="003142BB">
        <w:rPr>
          <w:rFonts w:ascii="Inter" w:hAnsi="Inter"/>
          <w:bCs/>
          <w:sz w:val="20"/>
          <w:szCs w:val="20"/>
        </w:rPr>
        <w:t>) ;</w:t>
      </w:r>
    </w:p>
    <w:p w:rsidR="008648B0" w:rsidRPr="003142BB" w:rsidRDefault="008648B0" w:rsidP="008648B0">
      <w:pPr>
        <w:pStyle w:val="Paragraphedeliste"/>
        <w:numPr>
          <w:ilvl w:val="0"/>
          <w:numId w:val="3"/>
        </w:numPr>
        <w:spacing w:line="360" w:lineRule="auto"/>
        <w:jc w:val="both"/>
        <w:rPr>
          <w:rFonts w:ascii="Inter" w:hAnsi="Inter"/>
          <w:bCs/>
          <w:sz w:val="20"/>
          <w:szCs w:val="20"/>
        </w:rPr>
      </w:pPr>
      <w:r w:rsidRPr="003142BB">
        <w:rPr>
          <w:rFonts w:ascii="Inter" w:hAnsi="Inter"/>
          <w:bCs/>
          <w:sz w:val="20"/>
          <w:szCs w:val="20"/>
        </w:rPr>
        <w:t>L’évaluation finale de la formation (création, impression et réception) ;</w:t>
      </w:r>
    </w:p>
    <w:p w:rsidR="008648B0" w:rsidRPr="003142BB" w:rsidRDefault="008648B0" w:rsidP="008648B0">
      <w:pPr>
        <w:pStyle w:val="Paragraphedeliste"/>
        <w:numPr>
          <w:ilvl w:val="0"/>
          <w:numId w:val="3"/>
        </w:numPr>
        <w:spacing w:line="360" w:lineRule="auto"/>
        <w:jc w:val="both"/>
        <w:rPr>
          <w:rFonts w:ascii="Inter" w:hAnsi="Inter"/>
          <w:bCs/>
          <w:sz w:val="20"/>
          <w:szCs w:val="20"/>
        </w:rPr>
      </w:pPr>
      <w:r w:rsidRPr="003142BB">
        <w:rPr>
          <w:rFonts w:ascii="Inter" w:hAnsi="Inter"/>
          <w:bCs/>
          <w:sz w:val="20"/>
          <w:szCs w:val="20"/>
        </w:rPr>
        <w:t xml:space="preserve">La remise de l’attestation de formation aux </w:t>
      </w:r>
      <w:proofErr w:type="spellStart"/>
      <w:r w:rsidRPr="003142BB">
        <w:rPr>
          <w:rFonts w:ascii="Inter" w:hAnsi="Inter"/>
          <w:bCs/>
          <w:sz w:val="20"/>
          <w:szCs w:val="20"/>
        </w:rPr>
        <w:t>participant</w:t>
      </w:r>
      <w:r w:rsidR="00CA14D8">
        <w:rPr>
          <w:rFonts w:ascii="Inter" w:hAnsi="Inter"/>
          <w:bCs/>
          <w:sz w:val="20"/>
          <w:szCs w:val="20"/>
        </w:rPr>
        <w:t>·e</w:t>
      </w:r>
      <w:r w:rsidRPr="003142BB">
        <w:rPr>
          <w:rFonts w:ascii="Inter" w:hAnsi="Inter"/>
          <w:bCs/>
          <w:sz w:val="20"/>
          <w:szCs w:val="20"/>
        </w:rPr>
        <w:t>s</w:t>
      </w:r>
      <w:proofErr w:type="spellEnd"/>
      <w:r w:rsidRPr="003142BB">
        <w:rPr>
          <w:rFonts w:ascii="Inter" w:hAnsi="Inter"/>
          <w:bCs/>
          <w:sz w:val="20"/>
          <w:szCs w:val="20"/>
        </w:rPr>
        <w:t>.</w:t>
      </w:r>
    </w:p>
    <w:p w:rsidR="008648B0" w:rsidRPr="003142BB" w:rsidRDefault="008648B0" w:rsidP="008648B0">
      <w:pPr>
        <w:spacing w:line="276" w:lineRule="auto"/>
        <w:rPr>
          <w:szCs w:val="20"/>
        </w:rPr>
      </w:pPr>
      <w:r w:rsidRPr="003142BB">
        <w:rPr>
          <w:szCs w:val="20"/>
        </w:rPr>
        <w:t>D’autres éventuelles demandes du formateur ou de la formatrice seront examinées par ACODEV au cas par cas et doivent être demandées lors de la soumission.</w:t>
      </w:r>
    </w:p>
    <w:p w:rsidR="00CA14D8" w:rsidRDefault="008648B0" w:rsidP="008648B0">
      <w:pPr>
        <w:rPr>
          <w:szCs w:val="20"/>
        </w:rPr>
      </w:pPr>
      <w:r w:rsidRPr="003142BB">
        <w:rPr>
          <w:szCs w:val="20"/>
        </w:rPr>
        <w:t xml:space="preserve">ACODEV affectera durant le temps de </w:t>
      </w:r>
      <w:r w:rsidR="00CA14D8">
        <w:rPr>
          <w:szCs w:val="20"/>
        </w:rPr>
        <w:t xml:space="preserve">la </w:t>
      </w:r>
      <w:r w:rsidRPr="003142BB">
        <w:rPr>
          <w:szCs w:val="20"/>
        </w:rPr>
        <w:t>formation une personne ressource pour accompagner le ou la formatrice dans son travail si nécessaire. Cette personne assurera aussi la coordination de l’organisation logistique.</w:t>
      </w:r>
    </w:p>
    <w:p w:rsidR="00CA14D8" w:rsidRDefault="00CA14D8" w:rsidP="00CA14D8">
      <w:pPr>
        <w:pStyle w:val="Titre1"/>
      </w:pPr>
      <w:r>
        <w:t>6. Profil recherché</w:t>
      </w:r>
    </w:p>
    <w:p w:rsidR="00CA14D8" w:rsidRPr="003142BB" w:rsidRDefault="00CA14D8" w:rsidP="00CA14D8">
      <w:pPr>
        <w:spacing w:line="276" w:lineRule="auto"/>
        <w:rPr>
          <w:szCs w:val="20"/>
        </w:rPr>
      </w:pPr>
      <w:r w:rsidRPr="003142BB">
        <w:rPr>
          <w:szCs w:val="20"/>
        </w:rPr>
        <w:t>La personne sélectionnée aura les compétences suivantes :</w:t>
      </w:r>
    </w:p>
    <w:p w:rsidR="00343110" w:rsidRPr="00343110" w:rsidRDefault="00343110" w:rsidP="00343110">
      <w:pPr>
        <w:numPr>
          <w:ilvl w:val="0"/>
          <w:numId w:val="14"/>
        </w:numPr>
        <w:spacing w:line="276" w:lineRule="auto"/>
        <w:rPr>
          <w:rFonts w:eastAsia="Calibri" w:cs="Times New Roman"/>
          <w:bCs/>
          <w:szCs w:val="20"/>
        </w:rPr>
      </w:pPr>
      <w:r w:rsidRPr="00343110">
        <w:rPr>
          <w:rFonts w:eastAsia="Calibri" w:cs="Times New Roman"/>
          <w:bCs/>
          <w:szCs w:val="20"/>
        </w:rPr>
        <w:t>Expertise avérée en plaidoyer ;</w:t>
      </w:r>
    </w:p>
    <w:p w:rsidR="00343110" w:rsidRPr="00343110" w:rsidRDefault="00343110" w:rsidP="00343110">
      <w:pPr>
        <w:numPr>
          <w:ilvl w:val="0"/>
          <w:numId w:val="14"/>
        </w:numPr>
        <w:spacing w:line="276" w:lineRule="auto"/>
        <w:rPr>
          <w:rFonts w:eastAsia="Calibri" w:cs="Times New Roman"/>
          <w:bCs/>
          <w:szCs w:val="20"/>
        </w:rPr>
      </w:pPr>
      <w:r w:rsidRPr="00343110">
        <w:rPr>
          <w:rFonts w:eastAsia="Calibri" w:cs="Times New Roman"/>
          <w:bCs/>
          <w:szCs w:val="20"/>
        </w:rPr>
        <w:t>Expérience(s) en tant que chargé de plaidoyer dans le domaine de la coopération internationale ;</w:t>
      </w:r>
    </w:p>
    <w:p w:rsidR="00343110" w:rsidRPr="00343110" w:rsidRDefault="00343110" w:rsidP="00343110">
      <w:pPr>
        <w:numPr>
          <w:ilvl w:val="0"/>
          <w:numId w:val="14"/>
        </w:numPr>
        <w:spacing w:line="276" w:lineRule="auto"/>
        <w:rPr>
          <w:rFonts w:eastAsia="Calibri" w:cs="Times New Roman"/>
          <w:bCs/>
          <w:szCs w:val="20"/>
        </w:rPr>
      </w:pPr>
      <w:r w:rsidRPr="00343110">
        <w:rPr>
          <w:rFonts w:eastAsia="Calibri" w:cs="Times New Roman"/>
          <w:bCs/>
          <w:szCs w:val="20"/>
        </w:rPr>
        <w:t>Capacité pédagogique et méthodologique avérée, notamment avec les outils numériques ;</w:t>
      </w:r>
    </w:p>
    <w:p w:rsidR="00343110" w:rsidRPr="00343110" w:rsidRDefault="00343110" w:rsidP="00343110">
      <w:pPr>
        <w:numPr>
          <w:ilvl w:val="0"/>
          <w:numId w:val="14"/>
        </w:numPr>
        <w:spacing w:line="276" w:lineRule="auto"/>
        <w:rPr>
          <w:rFonts w:eastAsia="Calibri" w:cs="Times New Roman"/>
          <w:bCs/>
          <w:szCs w:val="20"/>
        </w:rPr>
      </w:pPr>
      <w:r w:rsidRPr="00343110">
        <w:rPr>
          <w:rFonts w:eastAsia="Calibri" w:cs="Times New Roman"/>
          <w:bCs/>
          <w:szCs w:val="20"/>
        </w:rPr>
        <w:t xml:space="preserve">Une approche méthodologique </w:t>
      </w:r>
      <w:proofErr w:type="spellStart"/>
      <w:r w:rsidRPr="00343110">
        <w:rPr>
          <w:rFonts w:eastAsia="Calibri" w:cs="Times New Roman"/>
          <w:bCs/>
          <w:szCs w:val="20"/>
        </w:rPr>
        <w:t>genrée</w:t>
      </w:r>
      <w:proofErr w:type="spellEnd"/>
      <w:r w:rsidRPr="00343110">
        <w:rPr>
          <w:rFonts w:eastAsia="Calibri" w:cs="Times New Roman"/>
          <w:bCs/>
          <w:szCs w:val="20"/>
        </w:rPr>
        <w:t xml:space="preserve"> est un plus (approche méthodologique, support pédagogique, etc.) ;</w:t>
      </w:r>
    </w:p>
    <w:p w:rsidR="00343110" w:rsidRPr="00343110" w:rsidRDefault="00343110" w:rsidP="00343110">
      <w:pPr>
        <w:numPr>
          <w:ilvl w:val="0"/>
          <w:numId w:val="14"/>
        </w:numPr>
        <w:spacing w:line="276" w:lineRule="auto"/>
        <w:rPr>
          <w:rFonts w:eastAsia="Calibri" w:cs="Times New Roman"/>
          <w:bCs/>
          <w:szCs w:val="20"/>
        </w:rPr>
      </w:pPr>
      <w:r w:rsidRPr="00343110">
        <w:rPr>
          <w:rFonts w:eastAsia="Calibri" w:cs="Times New Roman"/>
          <w:bCs/>
          <w:szCs w:val="20"/>
        </w:rPr>
        <w:t>Maitrise parfaite du français.</w:t>
      </w:r>
    </w:p>
    <w:p w:rsidR="00CA14D8" w:rsidRDefault="00CA14D8" w:rsidP="00CA14D8">
      <w:pPr>
        <w:spacing w:line="276" w:lineRule="auto"/>
        <w:rPr>
          <w:szCs w:val="20"/>
        </w:rPr>
      </w:pPr>
      <w:r w:rsidRPr="003142BB">
        <w:rPr>
          <w:szCs w:val="20"/>
        </w:rPr>
        <w:t>Les bureaux de consultance et de formations peuvent soumiss</w:t>
      </w:r>
      <w:r>
        <w:rPr>
          <w:szCs w:val="20"/>
        </w:rPr>
        <w:t>ionner pour cet appel d’offres.</w:t>
      </w:r>
    </w:p>
    <w:p w:rsidR="00CA14D8" w:rsidRDefault="00CA14D8" w:rsidP="00CA14D8">
      <w:pPr>
        <w:spacing w:line="276" w:lineRule="auto"/>
        <w:rPr>
          <w:szCs w:val="20"/>
        </w:rPr>
      </w:pPr>
    </w:p>
    <w:p w:rsidR="00CA14D8" w:rsidRDefault="00CA14D8" w:rsidP="00CA14D8">
      <w:pPr>
        <w:pStyle w:val="Titre1"/>
      </w:pPr>
      <w:r>
        <w:t>7. Documents à fournir avant et après la formation</w:t>
      </w:r>
    </w:p>
    <w:p w:rsidR="00CA14D8" w:rsidRPr="003142BB" w:rsidRDefault="00CA14D8" w:rsidP="00CA14D8">
      <w:pPr>
        <w:spacing w:line="276" w:lineRule="auto"/>
        <w:rPr>
          <w:szCs w:val="20"/>
        </w:rPr>
      </w:pPr>
      <w:r w:rsidRPr="003142BB">
        <w:rPr>
          <w:szCs w:val="20"/>
        </w:rPr>
        <w:t xml:space="preserve">ACODEV fournit au plus tard </w:t>
      </w:r>
      <w:r w:rsidRPr="003142BB">
        <w:rPr>
          <w:b/>
          <w:bCs/>
          <w:szCs w:val="20"/>
        </w:rPr>
        <w:t xml:space="preserve">1 semaine </w:t>
      </w:r>
      <w:r w:rsidRPr="003142BB">
        <w:rPr>
          <w:szCs w:val="20"/>
        </w:rPr>
        <w:t xml:space="preserve">avant la formation, la </w:t>
      </w:r>
      <w:r w:rsidRPr="003142BB">
        <w:rPr>
          <w:bCs/>
          <w:szCs w:val="20"/>
        </w:rPr>
        <w:t xml:space="preserve">liste </w:t>
      </w:r>
      <w:r w:rsidRPr="003142BB">
        <w:rPr>
          <w:szCs w:val="20"/>
        </w:rPr>
        <w:t xml:space="preserve">complète des </w:t>
      </w:r>
      <w:proofErr w:type="spellStart"/>
      <w:r w:rsidRPr="003142BB">
        <w:rPr>
          <w:bCs/>
          <w:szCs w:val="20"/>
        </w:rPr>
        <w:t>participant</w:t>
      </w:r>
      <w:r>
        <w:rPr>
          <w:bCs/>
          <w:szCs w:val="20"/>
        </w:rPr>
        <w:t>·e</w:t>
      </w:r>
      <w:r w:rsidRPr="003142BB">
        <w:rPr>
          <w:bCs/>
          <w:szCs w:val="20"/>
        </w:rPr>
        <w:t>s</w:t>
      </w:r>
      <w:proofErr w:type="spellEnd"/>
      <w:r w:rsidRPr="003142BB">
        <w:rPr>
          <w:szCs w:val="20"/>
        </w:rPr>
        <w:t xml:space="preserve"> de chaque bloc comprenant : leurs fonctions au sein de l’O</w:t>
      </w:r>
      <w:r>
        <w:rPr>
          <w:szCs w:val="20"/>
        </w:rPr>
        <w:t>SC</w:t>
      </w:r>
      <w:r w:rsidRPr="003142BB">
        <w:rPr>
          <w:szCs w:val="20"/>
        </w:rPr>
        <w:t xml:space="preserve">, leurs attentes par rapport à la formation et leur background sur la thématique.  </w:t>
      </w:r>
    </w:p>
    <w:p w:rsidR="00CA14D8" w:rsidRPr="003142BB" w:rsidRDefault="00CA14D8" w:rsidP="00CA14D8">
      <w:pPr>
        <w:spacing w:line="276" w:lineRule="auto"/>
        <w:rPr>
          <w:szCs w:val="20"/>
        </w:rPr>
      </w:pPr>
      <w:r w:rsidRPr="003142BB">
        <w:rPr>
          <w:szCs w:val="20"/>
        </w:rPr>
        <w:t>Le</w:t>
      </w:r>
      <w:r>
        <w:rPr>
          <w:szCs w:val="20"/>
        </w:rPr>
        <w:t xml:space="preserve"> ou </w:t>
      </w:r>
      <w:r w:rsidRPr="003142BB">
        <w:rPr>
          <w:szCs w:val="20"/>
        </w:rPr>
        <w:t xml:space="preserve">la </w:t>
      </w:r>
      <w:proofErr w:type="spellStart"/>
      <w:r w:rsidRPr="003142BB">
        <w:rPr>
          <w:szCs w:val="20"/>
        </w:rPr>
        <w:t>formateur·</w:t>
      </w:r>
      <w:r>
        <w:rPr>
          <w:szCs w:val="20"/>
        </w:rPr>
        <w:t>t</w:t>
      </w:r>
      <w:r w:rsidRPr="003142BB">
        <w:rPr>
          <w:szCs w:val="20"/>
        </w:rPr>
        <w:t>rice</w:t>
      </w:r>
      <w:proofErr w:type="spellEnd"/>
      <w:r>
        <w:rPr>
          <w:szCs w:val="20"/>
        </w:rPr>
        <w:t xml:space="preserve"> fournit à ACODEV :</w:t>
      </w:r>
    </w:p>
    <w:p w:rsidR="00CA14D8" w:rsidRPr="003142BB" w:rsidRDefault="00CA14D8" w:rsidP="00CA14D8">
      <w:pPr>
        <w:pStyle w:val="Paragraphedeliste"/>
        <w:numPr>
          <w:ilvl w:val="0"/>
          <w:numId w:val="5"/>
        </w:numPr>
        <w:spacing w:after="0"/>
        <w:jc w:val="both"/>
        <w:rPr>
          <w:rFonts w:ascii="Inter" w:hAnsi="Inter"/>
          <w:sz w:val="20"/>
          <w:szCs w:val="20"/>
        </w:rPr>
      </w:pPr>
      <w:proofErr w:type="gramStart"/>
      <w:r w:rsidRPr="003142BB">
        <w:rPr>
          <w:rFonts w:ascii="Inter" w:hAnsi="Inter"/>
          <w:sz w:val="20"/>
          <w:szCs w:val="20"/>
        </w:rPr>
        <w:t>au</w:t>
      </w:r>
      <w:proofErr w:type="gramEnd"/>
      <w:r w:rsidRPr="003142BB">
        <w:rPr>
          <w:rFonts w:ascii="Inter" w:hAnsi="Inter"/>
          <w:sz w:val="20"/>
          <w:szCs w:val="20"/>
        </w:rPr>
        <w:t xml:space="preserve"> plus tard </w:t>
      </w:r>
      <w:r w:rsidRPr="003142BB">
        <w:rPr>
          <w:rFonts w:ascii="Inter" w:hAnsi="Inter"/>
          <w:b/>
          <w:sz w:val="20"/>
          <w:szCs w:val="20"/>
        </w:rPr>
        <w:t>2 semaines</w:t>
      </w:r>
      <w:r w:rsidRPr="003142BB">
        <w:rPr>
          <w:rFonts w:ascii="Inter" w:hAnsi="Inter"/>
          <w:sz w:val="20"/>
          <w:szCs w:val="20"/>
        </w:rPr>
        <w:t xml:space="preserve"> avant la formation, les éventuels documents de préparation pour les </w:t>
      </w:r>
      <w:proofErr w:type="spellStart"/>
      <w:r w:rsidRPr="003142BB">
        <w:rPr>
          <w:rFonts w:ascii="Inter" w:hAnsi="Inter"/>
          <w:sz w:val="20"/>
          <w:szCs w:val="20"/>
        </w:rPr>
        <w:t>participant</w:t>
      </w:r>
      <w:r>
        <w:rPr>
          <w:rFonts w:ascii="Inter" w:hAnsi="Inter"/>
          <w:sz w:val="20"/>
          <w:szCs w:val="20"/>
        </w:rPr>
        <w:t>·e</w:t>
      </w:r>
      <w:r w:rsidRPr="003142BB">
        <w:rPr>
          <w:rFonts w:ascii="Inter" w:hAnsi="Inter"/>
          <w:sz w:val="20"/>
          <w:szCs w:val="20"/>
        </w:rPr>
        <w:t>s</w:t>
      </w:r>
      <w:proofErr w:type="spellEnd"/>
      <w:r w:rsidRPr="003142BB">
        <w:rPr>
          <w:rFonts w:ascii="Inter" w:hAnsi="Inter"/>
          <w:sz w:val="20"/>
          <w:szCs w:val="20"/>
        </w:rPr>
        <w:t xml:space="preserve"> (cas pratique à lire, etc.)</w:t>
      </w:r>
    </w:p>
    <w:p w:rsidR="00CA14D8" w:rsidRDefault="00CA14D8" w:rsidP="00CA14D8">
      <w:pPr>
        <w:pStyle w:val="Paragraphedeliste"/>
        <w:numPr>
          <w:ilvl w:val="0"/>
          <w:numId w:val="5"/>
        </w:numPr>
        <w:spacing w:after="0"/>
        <w:jc w:val="both"/>
        <w:rPr>
          <w:rFonts w:ascii="Inter" w:hAnsi="Inter"/>
          <w:sz w:val="20"/>
          <w:szCs w:val="20"/>
        </w:rPr>
      </w:pPr>
      <w:proofErr w:type="gramStart"/>
      <w:r w:rsidRPr="003142BB">
        <w:rPr>
          <w:rFonts w:ascii="Inter" w:hAnsi="Inter"/>
          <w:sz w:val="20"/>
          <w:szCs w:val="20"/>
        </w:rPr>
        <w:t>au</w:t>
      </w:r>
      <w:proofErr w:type="gramEnd"/>
      <w:r w:rsidRPr="003142BB">
        <w:rPr>
          <w:rFonts w:ascii="Inter" w:hAnsi="Inter"/>
          <w:sz w:val="20"/>
          <w:szCs w:val="20"/>
        </w:rPr>
        <w:t xml:space="preserve"> plus tard, </w:t>
      </w:r>
      <w:r w:rsidRPr="003142BB">
        <w:rPr>
          <w:rFonts w:ascii="Inter" w:hAnsi="Inter"/>
          <w:b/>
          <w:sz w:val="20"/>
          <w:szCs w:val="20"/>
        </w:rPr>
        <w:t>3 jours</w:t>
      </w:r>
      <w:r w:rsidRPr="003142BB">
        <w:rPr>
          <w:rFonts w:ascii="Inter" w:hAnsi="Inter"/>
          <w:sz w:val="20"/>
          <w:szCs w:val="20"/>
        </w:rPr>
        <w:t xml:space="preserve"> avant la formation, la présentation qui sera utilisée en appui visuel pendant la session (ce support restera au sein d’ACODEV). </w:t>
      </w:r>
    </w:p>
    <w:p w:rsidR="00CA14D8" w:rsidRDefault="00CA14D8" w:rsidP="00CA14D8">
      <w:pPr>
        <w:spacing w:after="0"/>
        <w:rPr>
          <w:szCs w:val="20"/>
        </w:rPr>
      </w:pPr>
    </w:p>
    <w:p w:rsidR="00CA14D8" w:rsidRDefault="00CA14D8" w:rsidP="00CA14D8">
      <w:pPr>
        <w:spacing w:after="0"/>
        <w:rPr>
          <w:szCs w:val="20"/>
        </w:rPr>
      </w:pPr>
      <w:r w:rsidRPr="00CA14D8">
        <w:rPr>
          <w:szCs w:val="20"/>
        </w:rPr>
        <w:t>Les présentations et autres ressources utilisées pendant la formation seront mis</w:t>
      </w:r>
      <w:r>
        <w:rPr>
          <w:szCs w:val="20"/>
        </w:rPr>
        <w:t>es</w:t>
      </w:r>
      <w:r w:rsidRPr="00CA14D8">
        <w:rPr>
          <w:szCs w:val="20"/>
        </w:rPr>
        <w:t xml:space="preserve"> à la disposition des participantes et participants, ainsi que des autres organisations membres de ACODEV via un site internet fermé</w:t>
      </w:r>
      <w:r w:rsidR="00343110">
        <w:rPr>
          <w:szCs w:val="20"/>
        </w:rPr>
        <w:t xml:space="preserve"> au grand public</w:t>
      </w:r>
      <w:r w:rsidRPr="00CA14D8">
        <w:rPr>
          <w:szCs w:val="20"/>
        </w:rPr>
        <w:t>, appelé Portail Qualité.</w:t>
      </w:r>
    </w:p>
    <w:p w:rsidR="00CA14D8" w:rsidRDefault="00CA14D8" w:rsidP="00CA14D8">
      <w:pPr>
        <w:spacing w:after="0"/>
        <w:rPr>
          <w:szCs w:val="20"/>
        </w:rPr>
      </w:pPr>
    </w:p>
    <w:p w:rsidR="00CA14D8" w:rsidRDefault="00CA14D8" w:rsidP="00CA14D8">
      <w:pPr>
        <w:spacing w:after="0"/>
        <w:rPr>
          <w:szCs w:val="20"/>
        </w:rPr>
      </w:pPr>
    </w:p>
    <w:p w:rsidR="00CA14D8" w:rsidRDefault="00CA14D8" w:rsidP="00CA14D8">
      <w:pPr>
        <w:pStyle w:val="Titre1"/>
      </w:pPr>
      <w:r>
        <w:lastRenderedPageBreak/>
        <w:t>8. Composition de l’offre</w:t>
      </w:r>
    </w:p>
    <w:p w:rsidR="00CA14D8" w:rsidRPr="003142BB" w:rsidRDefault="00CA14D8" w:rsidP="00CA14D8">
      <w:pPr>
        <w:rPr>
          <w:bCs/>
          <w:szCs w:val="20"/>
        </w:rPr>
      </w:pPr>
      <w:r w:rsidRPr="003142BB">
        <w:rPr>
          <w:bCs/>
          <w:szCs w:val="20"/>
        </w:rPr>
        <w:t>L’offre doit contenir au moins les 6 éléments suivants :</w:t>
      </w:r>
    </w:p>
    <w:p w:rsidR="00CA14D8" w:rsidRPr="003142BB" w:rsidRDefault="00CA14D8" w:rsidP="00CA14D8">
      <w:pPr>
        <w:pStyle w:val="Paragraphedeliste"/>
        <w:numPr>
          <w:ilvl w:val="0"/>
          <w:numId w:val="6"/>
        </w:numPr>
        <w:spacing w:line="360" w:lineRule="auto"/>
        <w:jc w:val="both"/>
        <w:rPr>
          <w:rFonts w:ascii="Inter" w:hAnsi="Inter"/>
          <w:bCs/>
          <w:sz w:val="20"/>
          <w:szCs w:val="20"/>
        </w:rPr>
      </w:pPr>
      <w:r w:rsidRPr="003142BB">
        <w:rPr>
          <w:rFonts w:ascii="Inter" w:hAnsi="Inter"/>
          <w:bCs/>
          <w:sz w:val="20"/>
          <w:szCs w:val="20"/>
        </w:rPr>
        <w:t xml:space="preserve">Une description du </w:t>
      </w:r>
      <w:r w:rsidRPr="003142BB">
        <w:rPr>
          <w:rFonts w:ascii="Inter" w:hAnsi="Inter"/>
          <w:bCs/>
          <w:sz w:val="20"/>
          <w:szCs w:val="20"/>
          <w:u w:val="single"/>
        </w:rPr>
        <w:t>contenu</w:t>
      </w:r>
      <w:r w:rsidRPr="003142BB">
        <w:rPr>
          <w:rFonts w:ascii="Inter" w:hAnsi="Inter"/>
          <w:bCs/>
          <w:sz w:val="20"/>
          <w:szCs w:val="20"/>
        </w:rPr>
        <w:t xml:space="preserve"> pour chaque partie de la formation ainsi qu’un agenda ;</w:t>
      </w:r>
    </w:p>
    <w:p w:rsidR="00CA14D8" w:rsidRPr="003142BB" w:rsidRDefault="00CA14D8" w:rsidP="00CA14D8">
      <w:pPr>
        <w:pStyle w:val="Paragraphedeliste"/>
        <w:numPr>
          <w:ilvl w:val="0"/>
          <w:numId w:val="6"/>
        </w:numPr>
        <w:spacing w:line="360" w:lineRule="auto"/>
        <w:jc w:val="both"/>
        <w:rPr>
          <w:rFonts w:ascii="Inter" w:hAnsi="Inter"/>
          <w:bCs/>
          <w:sz w:val="20"/>
          <w:szCs w:val="20"/>
        </w:rPr>
      </w:pPr>
      <w:r w:rsidRPr="003142BB">
        <w:rPr>
          <w:rFonts w:ascii="Inter" w:hAnsi="Inter"/>
          <w:bCs/>
          <w:sz w:val="20"/>
          <w:szCs w:val="20"/>
        </w:rPr>
        <w:t>Une description de la méthodologie/</w:t>
      </w:r>
      <w:r w:rsidRPr="003142BB">
        <w:rPr>
          <w:rFonts w:ascii="Inter" w:hAnsi="Inter"/>
          <w:bCs/>
          <w:sz w:val="20"/>
          <w:szCs w:val="20"/>
          <w:u w:val="single"/>
        </w:rPr>
        <w:t>l’approche pédagogique</w:t>
      </w:r>
      <w:r w:rsidRPr="003142BB">
        <w:rPr>
          <w:rFonts w:ascii="Inter" w:hAnsi="Inter"/>
          <w:bCs/>
          <w:sz w:val="20"/>
          <w:szCs w:val="20"/>
        </w:rPr>
        <w:t xml:space="preserve"> proposée ;</w:t>
      </w:r>
    </w:p>
    <w:p w:rsidR="00CA14D8" w:rsidRPr="003142BB" w:rsidRDefault="00CA14D8" w:rsidP="00CA14D8">
      <w:pPr>
        <w:pStyle w:val="Paragraphedeliste"/>
        <w:numPr>
          <w:ilvl w:val="0"/>
          <w:numId w:val="6"/>
        </w:numPr>
        <w:spacing w:line="360" w:lineRule="auto"/>
        <w:jc w:val="both"/>
        <w:rPr>
          <w:rFonts w:ascii="Inter" w:hAnsi="Inter"/>
          <w:bCs/>
          <w:sz w:val="20"/>
          <w:szCs w:val="20"/>
        </w:rPr>
      </w:pPr>
      <w:r w:rsidRPr="003142BB">
        <w:rPr>
          <w:rFonts w:ascii="Inter" w:hAnsi="Inter"/>
          <w:sz w:val="20"/>
          <w:szCs w:val="20"/>
        </w:rPr>
        <w:t xml:space="preserve">Un </w:t>
      </w:r>
      <w:r w:rsidRPr="003142BB">
        <w:rPr>
          <w:rFonts w:ascii="Inter" w:hAnsi="Inter"/>
          <w:sz w:val="20"/>
          <w:szCs w:val="20"/>
          <w:u w:val="single"/>
        </w:rPr>
        <w:t>schéma concret du planning</w:t>
      </w:r>
      <w:r w:rsidRPr="003142BB">
        <w:rPr>
          <w:rFonts w:ascii="Inter" w:hAnsi="Inter"/>
          <w:sz w:val="20"/>
          <w:szCs w:val="20"/>
        </w:rPr>
        <w:t xml:space="preserve"> pour la réalisation de cette formation (nombre de jours/activités)</w:t>
      </w:r>
    </w:p>
    <w:p w:rsidR="00CA14D8" w:rsidRPr="003142BB" w:rsidRDefault="00CA14D8" w:rsidP="00CA14D8">
      <w:pPr>
        <w:pStyle w:val="Paragraphedeliste"/>
        <w:numPr>
          <w:ilvl w:val="0"/>
          <w:numId w:val="6"/>
        </w:numPr>
        <w:spacing w:line="360" w:lineRule="auto"/>
        <w:jc w:val="both"/>
        <w:rPr>
          <w:rFonts w:ascii="Inter" w:hAnsi="Inter"/>
          <w:bCs/>
          <w:sz w:val="20"/>
          <w:szCs w:val="20"/>
        </w:rPr>
      </w:pPr>
      <w:r w:rsidRPr="003142BB">
        <w:rPr>
          <w:rFonts w:ascii="Inter" w:hAnsi="Inter"/>
          <w:bCs/>
          <w:sz w:val="20"/>
          <w:szCs w:val="20"/>
        </w:rPr>
        <w:t xml:space="preserve">Une </w:t>
      </w:r>
      <w:r w:rsidRPr="003142BB">
        <w:rPr>
          <w:rFonts w:ascii="Inter" w:hAnsi="Inter"/>
          <w:bCs/>
          <w:sz w:val="20"/>
          <w:szCs w:val="20"/>
          <w:u w:val="single"/>
        </w:rPr>
        <w:t>offre financière</w:t>
      </w:r>
      <w:r w:rsidRPr="003142BB">
        <w:rPr>
          <w:rFonts w:ascii="Inter" w:hAnsi="Inter"/>
          <w:bCs/>
          <w:sz w:val="20"/>
          <w:szCs w:val="20"/>
        </w:rPr>
        <w:t xml:space="preserve"> qui </w:t>
      </w:r>
      <w:r w:rsidRPr="003142BB">
        <w:rPr>
          <w:rFonts w:ascii="Inter" w:hAnsi="Inter"/>
          <w:sz w:val="20"/>
          <w:szCs w:val="20"/>
        </w:rPr>
        <w:t xml:space="preserve">précisera le nombre de personnes-jours prévus, le tarif journalier, les éventuels frais annexes (déplacements, documents,) et le prix total TVAC (en cas d’offre sans TVA, il faudra l’expliquer). L’offre doit préciser les éventuels frais de déplacement et de séjour du/de la formatrice pour les deux blocs de formation. </w:t>
      </w:r>
    </w:p>
    <w:p w:rsidR="00CA14D8" w:rsidRPr="003142BB" w:rsidRDefault="00CA14D8" w:rsidP="00CA14D8">
      <w:pPr>
        <w:spacing w:line="360" w:lineRule="auto"/>
        <w:ind w:left="708"/>
        <w:rPr>
          <w:szCs w:val="20"/>
        </w:rPr>
      </w:pPr>
      <w:r w:rsidRPr="003142BB">
        <w:rPr>
          <w:szCs w:val="20"/>
        </w:rPr>
        <w:t>Il n’est pas prévu d’indemnisation si la formation est annulée ou reportée. En cas de report les conditions proposées dans l’offre de prestation resteront d’application pour une durée de 3 mois. Au-delà de ce terme une révision de l’offre sera discutée le cas échéant entre les parties, l’offre de prix devant au maximum évolué au rythme de l’indice santé.</w:t>
      </w:r>
    </w:p>
    <w:p w:rsidR="00CA14D8" w:rsidRPr="003142BB" w:rsidRDefault="00CA14D8" w:rsidP="00CA14D8">
      <w:pPr>
        <w:spacing w:line="360" w:lineRule="auto"/>
        <w:ind w:left="708"/>
        <w:rPr>
          <w:szCs w:val="20"/>
        </w:rPr>
      </w:pPr>
      <w:r w:rsidRPr="003142BB">
        <w:rPr>
          <w:szCs w:val="20"/>
        </w:rPr>
        <w:t>Toute annulation est communiquée au prestataire 15 jours avant la date fixée. Au-delà de ce délai, la formation est maintenue et confirmée.</w:t>
      </w:r>
    </w:p>
    <w:p w:rsidR="00CA14D8" w:rsidRPr="003142BB" w:rsidRDefault="00CA14D8" w:rsidP="00CA14D8">
      <w:pPr>
        <w:pStyle w:val="Paragraphedeliste"/>
        <w:numPr>
          <w:ilvl w:val="0"/>
          <w:numId w:val="6"/>
        </w:numPr>
        <w:spacing w:line="360" w:lineRule="auto"/>
        <w:jc w:val="both"/>
        <w:rPr>
          <w:rFonts w:ascii="Inter" w:hAnsi="Inter"/>
          <w:bCs/>
          <w:sz w:val="20"/>
          <w:szCs w:val="20"/>
        </w:rPr>
      </w:pPr>
      <w:r w:rsidRPr="003142BB">
        <w:rPr>
          <w:rFonts w:ascii="Inter" w:hAnsi="Inter"/>
          <w:sz w:val="20"/>
          <w:szCs w:val="20"/>
          <w:u w:val="single"/>
        </w:rPr>
        <w:t>L’expérience</w:t>
      </w:r>
      <w:r w:rsidRPr="003142BB">
        <w:rPr>
          <w:rFonts w:ascii="Inter" w:hAnsi="Inter"/>
          <w:sz w:val="20"/>
          <w:szCs w:val="20"/>
        </w:rPr>
        <w:t xml:space="preserve"> pertinente et le CV de la/les personne(s) mobilisée(s) ;</w:t>
      </w:r>
    </w:p>
    <w:p w:rsidR="00CA14D8" w:rsidRPr="003142BB" w:rsidRDefault="00CA14D8" w:rsidP="00CA14D8">
      <w:pPr>
        <w:pStyle w:val="Paragraphedeliste"/>
        <w:numPr>
          <w:ilvl w:val="0"/>
          <w:numId w:val="6"/>
        </w:numPr>
        <w:spacing w:line="360" w:lineRule="auto"/>
        <w:jc w:val="both"/>
        <w:rPr>
          <w:rFonts w:ascii="Inter" w:hAnsi="Inter"/>
          <w:bCs/>
          <w:sz w:val="20"/>
          <w:szCs w:val="20"/>
        </w:rPr>
      </w:pPr>
      <w:r w:rsidRPr="003142BB">
        <w:rPr>
          <w:rFonts w:ascii="Inter" w:hAnsi="Inter"/>
          <w:sz w:val="20"/>
          <w:szCs w:val="20"/>
        </w:rPr>
        <w:t xml:space="preserve">Confirmation de disponibilité pour la réalisation de la formation dans la période demandée.  </w:t>
      </w:r>
    </w:p>
    <w:p w:rsidR="00CA14D8" w:rsidRDefault="00CA14D8" w:rsidP="00CA14D8">
      <w:pPr>
        <w:spacing w:line="360" w:lineRule="auto"/>
        <w:rPr>
          <w:bCs/>
          <w:szCs w:val="20"/>
        </w:rPr>
      </w:pPr>
      <w:r w:rsidRPr="003142BB">
        <w:rPr>
          <w:bCs/>
          <w:szCs w:val="20"/>
        </w:rPr>
        <w:t>Et éventuellement, si disponible, un document avec les axes principaux imaginés pour la formation</w:t>
      </w:r>
      <w:r>
        <w:rPr>
          <w:bCs/>
          <w:szCs w:val="20"/>
        </w:rPr>
        <w:t>.</w:t>
      </w:r>
    </w:p>
    <w:p w:rsidR="00CA14D8" w:rsidRDefault="00CA14D8" w:rsidP="00CA14D8">
      <w:pPr>
        <w:spacing w:line="360" w:lineRule="auto"/>
        <w:rPr>
          <w:bCs/>
          <w:szCs w:val="20"/>
        </w:rPr>
      </w:pPr>
    </w:p>
    <w:p w:rsidR="00CA14D8" w:rsidRDefault="00CA14D8" w:rsidP="00CA14D8">
      <w:pPr>
        <w:pStyle w:val="Titre1"/>
      </w:pPr>
      <w:r>
        <w:t>9. Procédure</w:t>
      </w:r>
    </w:p>
    <w:p w:rsidR="00CA14D8" w:rsidRPr="00F575F3" w:rsidRDefault="00CA14D8" w:rsidP="00CA14D8">
      <w:pPr>
        <w:spacing w:line="276" w:lineRule="auto"/>
      </w:pPr>
      <w:r w:rsidRPr="003142BB">
        <w:rPr>
          <w:szCs w:val="20"/>
        </w:rPr>
        <w:t xml:space="preserve">L’offre doit être envoyée </w:t>
      </w:r>
      <w:r w:rsidRPr="003142BB">
        <w:rPr>
          <w:b/>
          <w:szCs w:val="20"/>
          <w:u w:val="single"/>
        </w:rPr>
        <w:t xml:space="preserve">pour le </w:t>
      </w:r>
      <w:r w:rsidR="00343110">
        <w:rPr>
          <w:b/>
          <w:bCs/>
          <w:szCs w:val="20"/>
          <w:u w:val="single"/>
        </w:rPr>
        <w:t>28/02/2025</w:t>
      </w:r>
      <w:r w:rsidRPr="003142BB">
        <w:rPr>
          <w:b/>
          <w:bCs/>
          <w:szCs w:val="20"/>
          <w:u w:val="single"/>
        </w:rPr>
        <w:t xml:space="preserve"> </w:t>
      </w:r>
      <w:r w:rsidRPr="003142BB">
        <w:rPr>
          <w:b/>
          <w:szCs w:val="20"/>
          <w:u w:val="single"/>
        </w:rPr>
        <w:t>au plus tard</w:t>
      </w:r>
      <w:r w:rsidR="00F575F3">
        <w:rPr>
          <w:szCs w:val="20"/>
          <w:u w:val="single"/>
        </w:rPr>
        <w:t xml:space="preserve"> </w:t>
      </w:r>
      <w:r w:rsidR="00F575F3" w:rsidRPr="00F575F3">
        <w:rPr>
          <w:b/>
          <w:szCs w:val="20"/>
          <w:u w:val="single"/>
        </w:rPr>
        <w:t>par mail</w:t>
      </w:r>
      <w:r w:rsidR="00F575F3" w:rsidRPr="00F575F3">
        <w:rPr>
          <w:szCs w:val="20"/>
        </w:rPr>
        <w:t xml:space="preserve"> à : </w:t>
      </w:r>
      <w:r w:rsidR="00343110">
        <w:rPr>
          <w:szCs w:val="20"/>
        </w:rPr>
        <w:t xml:space="preserve">Anita SAFI DIAZILA, </w:t>
      </w:r>
      <w:hyperlink r:id="rId8" w:history="1">
        <w:r w:rsidR="00343110" w:rsidRPr="0004758E">
          <w:rPr>
            <w:rStyle w:val="Lienhypertexte"/>
            <w:szCs w:val="20"/>
          </w:rPr>
          <w:t>asd@acodev.be</w:t>
        </w:r>
      </w:hyperlink>
      <w:r w:rsidR="00343110">
        <w:rPr>
          <w:szCs w:val="20"/>
        </w:rPr>
        <w:t xml:space="preserve"> </w:t>
      </w:r>
      <w:r>
        <w:rPr>
          <w:szCs w:val="20"/>
        </w:rPr>
        <w:t xml:space="preserve">Des informations supplémentaires </w:t>
      </w:r>
      <w:r w:rsidR="00343110">
        <w:rPr>
          <w:szCs w:val="20"/>
        </w:rPr>
        <w:t>peuvent être demandées par e-mail également.</w:t>
      </w:r>
    </w:p>
    <w:p w:rsidR="00044314" w:rsidRDefault="00044314" w:rsidP="00044314">
      <w:pPr>
        <w:spacing w:line="276" w:lineRule="auto"/>
      </w:pPr>
      <w:r w:rsidRPr="001326E5">
        <w:t>Les bureaux d’expert</w:t>
      </w:r>
      <w:r>
        <w:t xml:space="preserve">s sont autorisés à transmettre cet </w:t>
      </w:r>
      <w:r w:rsidRPr="001326E5">
        <w:t xml:space="preserve">appel d’offre à maximum 3 autres experts qualifiés avec qui ils travaillent. Dans ce cas, l’expert contacté est censé avoir reçu l’offre le jour de la publication de l’appel d’offre par </w:t>
      </w:r>
      <w:r>
        <w:t>ACODEV</w:t>
      </w:r>
      <w:r w:rsidRPr="001326E5">
        <w:t xml:space="preserve">. La date limite pour la réception des offres chez </w:t>
      </w:r>
      <w:r>
        <w:t>ACODEV</w:t>
      </w:r>
      <w:r w:rsidRPr="001326E5">
        <w:t xml:space="preserve"> restera inchangée. Par ailleurs, il doit être figuré dans l’offre de l’expert que ce dernier a été mis au courant de cet appel d’offre par un tiers. </w:t>
      </w:r>
    </w:p>
    <w:p w:rsidR="00CA14D8" w:rsidRDefault="00CA14D8" w:rsidP="00CA14D8">
      <w:pPr>
        <w:spacing w:line="276" w:lineRule="auto"/>
        <w:rPr>
          <w:szCs w:val="20"/>
        </w:rPr>
      </w:pPr>
    </w:p>
    <w:p w:rsidR="00CA14D8" w:rsidRDefault="00CA14D8" w:rsidP="00CA14D8">
      <w:pPr>
        <w:pStyle w:val="Titre1"/>
      </w:pPr>
      <w:r>
        <w:t>10. Critères de sélection</w:t>
      </w:r>
    </w:p>
    <w:p w:rsidR="00CA14D8" w:rsidRPr="003142BB" w:rsidRDefault="00CA14D8" w:rsidP="00CA14D8">
      <w:pPr>
        <w:rPr>
          <w:szCs w:val="20"/>
        </w:rPr>
      </w:pPr>
      <w:r w:rsidRPr="003142BB">
        <w:rPr>
          <w:szCs w:val="20"/>
        </w:rPr>
        <w:t>Les offres réceptionnées seront évaluées sur base d’une analyse cumulative. L’évaluation financière représentera 30% et l'évaluation technique représentera 70% du score total de l'évaluation.</w:t>
      </w:r>
    </w:p>
    <w:p w:rsidR="00CA14D8" w:rsidRPr="003142BB" w:rsidRDefault="00CA14D8" w:rsidP="00CA14D8">
      <w:pPr>
        <w:rPr>
          <w:szCs w:val="20"/>
        </w:rPr>
      </w:pPr>
      <w:r w:rsidRPr="003142BB">
        <w:rPr>
          <w:szCs w:val="20"/>
        </w:rPr>
        <w:t>Seuls les bureaux/</w:t>
      </w:r>
      <w:proofErr w:type="spellStart"/>
      <w:r w:rsidRPr="003142BB">
        <w:rPr>
          <w:szCs w:val="20"/>
        </w:rPr>
        <w:t>candidat·e·s</w:t>
      </w:r>
      <w:proofErr w:type="spellEnd"/>
      <w:r w:rsidRPr="003142BB">
        <w:rPr>
          <w:szCs w:val="20"/>
        </w:rPr>
        <w:t xml:space="preserve"> obtenant un minimum de 49 (70%) points sur la partie technique seront considérés pour l'évaluation financière.</w:t>
      </w:r>
    </w:p>
    <w:p w:rsidR="00CA14D8" w:rsidRPr="003142BB" w:rsidRDefault="00CA14D8" w:rsidP="00CA14D8">
      <w:pPr>
        <w:rPr>
          <w:szCs w:val="20"/>
        </w:rPr>
      </w:pPr>
    </w:p>
    <w:p w:rsidR="00CA14D8" w:rsidRPr="003142BB" w:rsidRDefault="00CA14D8" w:rsidP="00CA14D8">
      <w:pPr>
        <w:rPr>
          <w:szCs w:val="20"/>
          <w:u w:val="single"/>
        </w:rPr>
      </w:pPr>
      <w:r w:rsidRPr="003142BB">
        <w:rPr>
          <w:szCs w:val="20"/>
          <w:u w:val="single"/>
        </w:rPr>
        <w:t>Critères d'évaluation technique (maximum de 70 points</w:t>
      </w:r>
      <w:proofErr w:type="gramStart"/>
      <w:r w:rsidRPr="003142BB">
        <w:rPr>
          <w:szCs w:val="20"/>
          <w:u w:val="single"/>
        </w:rPr>
        <w:t>):</w:t>
      </w:r>
      <w:proofErr w:type="gramEnd"/>
    </w:p>
    <w:p w:rsidR="00CA14D8" w:rsidRPr="003142BB" w:rsidRDefault="00CA14D8" w:rsidP="00CA14D8">
      <w:pPr>
        <w:rPr>
          <w:szCs w:val="20"/>
          <w:u w:val="single"/>
        </w:rPr>
      </w:pPr>
    </w:p>
    <w:p w:rsidR="00CA14D8" w:rsidRPr="003142BB" w:rsidRDefault="00CA14D8" w:rsidP="00CA14D8">
      <w:pPr>
        <w:pStyle w:val="Paragraphedeliste"/>
        <w:numPr>
          <w:ilvl w:val="0"/>
          <w:numId w:val="7"/>
        </w:numPr>
        <w:jc w:val="both"/>
        <w:rPr>
          <w:rFonts w:ascii="Inter" w:hAnsi="Inter"/>
          <w:sz w:val="20"/>
          <w:szCs w:val="20"/>
        </w:rPr>
      </w:pPr>
      <w:r w:rsidRPr="003142BB">
        <w:rPr>
          <w:rFonts w:ascii="Inter" w:hAnsi="Inter"/>
          <w:sz w:val="20"/>
          <w:szCs w:val="20"/>
        </w:rPr>
        <w:lastRenderedPageBreak/>
        <w:t xml:space="preserve">Les compétences des </w:t>
      </w:r>
      <w:proofErr w:type="spellStart"/>
      <w:r w:rsidRPr="003142BB">
        <w:rPr>
          <w:rFonts w:ascii="Inter" w:hAnsi="Inter"/>
          <w:sz w:val="20"/>
          <w:szCs w:val="20"/>
        </w:rPr>
        <w:t>formateurs·rices</w:t>
      </w:r>
      <w:proofErr w:type="spellEnd"/>
      <w:r w:rsidRPr="003142BB">
        <w:rPr>
          <w:rFonts w:ascii="Inter" w:hAnsi="Inter"/>
          <w:sz w:val="20"/>
          <w:szCs w:val="20"/>
        </w:rPr>
        <w:t xml:space="preserve"> : 40 points</w:t>
      </w:r>
    </w:p>
    <w:p w:rsidR="00CA14D8" w:rsidRPr="003142BB" w:rsidRDefault="00CA14D8" w:rsidP="00594FE8">
      <w:pPr>
        <w:pStyle w:val="Paragraphedeliste"/>
        <w:numPr>
          <w:ilvl w:val="0"/>
          <w:numId w:val="8"/>
        </w:numPr>
        <w:spacing w:after="160"/>
        <w:ind w:left="1423" w:hanging="357"/>
        <w:rPr>
          <w:rFonts w:ascii="Inter" w:hAnsi="Inter"/>
          <w:sz w:val="20"/>
          <w:szCs w:val="20"/>
        </w:rPr>
      </w:pPr>
      <w:r w:rsidRPr="003142BB">
        <w:rPr>
          <w:rFonts w:ascii="Inter" w:hAnsi="Inter"/>
          <w:sz w:val="20"/>
          <w:szCs w:val="20"/>
        </w:rPr>
        <w:t>Expertise en financements européens (10 points).</w:t>
      </w:r>
    </w:p>
    <w:p w:rsidR="00CA14D8" w:rsidRPr="003142BB" w:rsidRDefault="00CA14D8" w:rsidP="00594FE8">
      <w:pPr>
        <w:pStyle w:val="Paragraphedeliste"/>
        <w:numPr>
          <w:ilvl w:val="0"/>
          <w:numId w:val="8"/>
        </w:numPr>
        <w:spacing w:after="160"/>
        <w:ind w:left="1423" w:hanging="357"/>
        <w:rPr>
          <w:rFonts w:ascii="Inter" w:hAnsi="Inter"/>
          <w:sz w:val="20"/>
          <w:szCs w:val="20"/>
        </w:rPr>
      </w:pPr>
      <w:r w:rsidRPr="003142BB">
        <w:rPr>
          <w:rFonts w:ascii="Inter" w:hAnsi="Inter"/>
          <w:sz w:val="20"/>
          <w:szCs w:val="20"/>
        </w:rPr>
        <w:t>Expérience avérée en dépôt, mise en œuvre et suivi de programmes/projets européens (10 points)</w:t>
      </w:r>
    </w:p>
    <w:p w:rsidR="00CA14D8" w:rsidRPr="003142BB" w:rsidRDefault="00CA14D8" w:rsidP="00594FE8">
      <w:pPr>
        <w:pStyle w:val="Paragraphedeliste"/>
        <w:numPr>
          <w:ilvl w:val="0"/>
          <w:numId w:val="8"/>
        </w:numPr>
        <w:spacing w:after="160"/>
        <w:ind w:left="1423" w:hanging="357"/>
        <w:rPr>
          <w:rFonts w:ascii="Inter" w:hAnsi="Inter"/>
          <w:sz w:val="20"/>
          <w:szCs w:val="20"/>
        </w:rPr>
      </w:pPr>
      <w:r w:rsidRPr="003142BB">
        <w:rPr>
          <w:rFonts w:ascii="Inter" w:hAnsi="Inter"/>
          <w:sz w:val="20"/>
          <w:szCs w:val="20"/>
        </w:rPr>
        <w:t xml:space="preserve">Expérience en </w:t>
      </w:r>
      <w:r w:rsidRPr="003142BB">
        <w:rPr>
          <w:rFonts w:ascii="Inter" w:hAnsi="Inter"/>
          <w:bCs/>
          <w:sz w:val="20"/>
          <w:szCs w:val="20"/>
        </w:rPr>
        <w:t>formations similaires sur la gestion de projets et programmes financés par les instruments de financement de l’UE</w:t>
      </w:r>
      <w:r w:rsidRPr="003142BB">
        <w:rPr>
          <w:rFonts w:ascii="Inter" w:hAnsi="Inter"/>
          <w:sz w:val="20"/>
          <w:szCs w:val="20"/>
        </w:rPr>
        <w:t xml:space="preserve"> (10 points)</w:t>
      </w:r>
    </w:p>
    <w:p w:rsidR="00CA14D8" w:rsidRPr="00594FE8" w:rsidRDefault="00CA14D8" w:rsidP="00594FE8">
      <w:pPr>
        <w:pStyle w:val="Paragraphedeliste"/>
        <w:numPr>
          <w:ilvl w:val="0"/>
          <w:numId w:val="8"/>
        </w:numPr>
        <w:spacing w:after="160"/>
        <w:ind w:left="1423" w:hanging="357"/>
        <w:jc w:val="both"/>
        <w:rPr>
          <w:rFonts w:ascii="Inter" w:hAnsi="Inter"/>
          <w:bCs/>
          <w:sz w:val="20"/>
          <w:szCs w:val="20"/>
        </w:rPr>
      </w:pPr>
      <w:r w:rsidRPr="003142BB">
        <w:rPr>
          <w:rFonts w:ascii="Inter" w:hAnsi="Inter"/>
          <w:bCs/>
          <w:sz w:val="20"/>
          <w:szCs w:val="20"/>
        </w:rPr>
        <w:t>Expérience dans le secteur des OSC de coopération au développement (Volet Sud et Nord) (10 points)</w:t>
      </w:r>
    </w:p>
    <w:p w:rsidR="00CA14D8" w:rsidRPr="003142BB" w:rsidRDefault="00CA14D8" w:rsidP="00CA14D8">
      <w:pPr>
        <w:rPr>
          <w:szCs w:val="20"/>
        </w:rPr>
      </w:pPr>
    </w:p>
    <w:p w:rsidR="00CA14D8" w:rsidRPr="003142BB" w:rsidRDefault="00CA14D8" w:rsidP="00CA14D8">
      <w:pPr>
        <w:pStyle w:val="Paragraphedeliste"/>
        <w:numPr>
          <w:ilvl w:val="0"/>
          <w:numId w:val="7"/>
        </w:numPr>
        <w:jc w:val="both"/>
        <w:rPr>
          <w:rFonts w:ascii="Inter" w:hAnsi="Inter"/>
          <w:sz w:val="20"/>
          <w:szCs w:val="20"/>
        </w:rPr>
      </w:pPr>
      <w:r w:rsidRPr="003142BB">
        <w:rPr>
          <w:rFonts w:ascii="Inter" w:hAnsi="Inter"/>
          <w:sz w:val="20"/>
          <w:szCs w:val="20"/>
        </w:rPr>
        <w:t>Méthodologie proposée : 30 points</w:t>
      </w:r>
    </w:p>
    <w:p w:rsidR="00CA14D8" w:rsidRPr="003142BB" w:rsidRDefault="00CA14D8" w:rsidP="00CA14D8">
      <w:pPr>
        <w:rPr>
          <w:szCs w:val="20"/>
        </w:rPr>
      </w:pPr>
    </w:p>
    <w:p w:rsidR="00CA14D8" w:rsidRPr="003142BB" w:rsidRDefault="00CA14D8" w:rsidP="00CA14D8">
      <w:pPr>
        <w:rPr>
          <w:szCs w:val="20"/>
          <w:u w:val="single"/>
        </w:rPr>
      </w:pPr>
      <w:r w:rsidRPr="003142BB">
        <w:rPr>
          <w:szCs w:val="20"/>
          <w:u w:val="single"/>
        </w:rPr>
        <w:t>Critères d’évaluation financiers (maximum de 30 points</w:t>
      </w:r>
      <w:proofErr w:type="gramStart"/>
      <w:r w:rsidRPr="003142BB">
        <w:rPr>
          <w:szCs w:val="20"/>
          <w:u w:val="single"/>
        </w:rPr>
        <w:t>):</w:t>
      </w:r>
      <w:proofErr w:type="gramEnd"/>
    </w:p>
    <w:p w:rsidR="00CA14D8" w:rsidRPr="003142BB" w:rsidRDefault="00CA14D8" w:rsidP="00CA14D8">
      <w:pPr>
        <w:rPr>
          <w:szCs w:val="20"/>
        </w:rPr>
      </w:pPr>
      <w:r w:rsidRPr="003142BB">
        <w:rPr>
          <w:szCs w:val="20"/>
        </w:rPr>
        <w:t xml:space="preserve">Les prix/honoraires. </w:t>
      </w:r>
    </w:p>
    <w:p w:rsidR="00CA14D8" w:rsidRDefault="00CA14D8" w:rsidP="00CA14D8">
      <w:pPr>
        <w:rPr>
          <w:szCs w:val="20"/>
        </w:rPr>
      </w:pPr>
      <w:r w:rsidRPr="003142BB">
        <w:rPr>
          <w:szCs w:val="20"/>
        </w:rPr>
        <w:t xml:space="preserve">La formule suivante sera utilisée pour évaluer le critère financier : p = y (µ/z), où p = points pour l’évaluation financière d’une offre, y = nombre maximum de points pour l’offre financière, µ = prix de l’offre </w:t>
      </w:r>
      <w:proofErr w:type="gramStart"/>
      <w:r w:rsidRPr="003142BB">
        <w:rPr>
          <w:szCs w:val="20"/>
        </w:rPr>
        <w:t>la</w:t>
      </w:r>
      <w:proofErr w:type="gramEnd"/>
      <w:r w:rsidRPr="003142BB">
        <w:rPr>
          <w:szCs w:val="20"/>
        </w:rPr>
        <w:t xml:space="preserve"> moins élevée, z = prix de l’offre évaluée.</w:t>
      </w:r>
    </w:p>
    <w:p w:rsidR="00594FE8" w:rsidRDefault="00594FE8" w:rsidP="00CA14D8">
      <w:pPr>
        <w:rPr>
          <w:szCs w:val="20"/>
        </w:rPr>
      </w:pPr>
    </w:p>
    <w:p w:rsidR="00AF40C8" w:rsidRDefault="00AF40C8" w:rsidP="003D731F"/>
    <w:sectPr w:rsidR="00AF40C8" w:rsidSect="003D731F">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16A" w:rsidRDefault="00D4716A" w:rsidP="003D731F">
      <w:pPr>
        <w:spacing w:after="0" w:line="240" w:lineRule="auto"/>
      </w:pPr>
      <w:r>
        <w:separator/>
      </w:r>
    </w:p>
  </w:endnote>
  <w:endnote w:type="continuationSeparator" w:id="0">
    <w:p w:rsidR="00D4716A" w:rsidRDefault="00D4716A" w:rsidP="003D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ter">
    <w:altName w:val="Cambria Math"/>
    <w:charset w:val="00"/>
    <w:family w:val="auto"/>
    <w:pitch w:val="variable"/>
    <w:sig w:usb0="E00002FF" w:usb1="1200A1FF" w:usb2="00000001" w:usb3="00000000" w:csb0="0000019F" w:csb1="00000000"/>
  </w:font>
  <w:font w:name="DM Sans">
    <w:altName w:val="Times New Roman"/>
    <w:charset w:val="00"/>
    <w:family w:val="auto"/>
    <w:pitch w:val="variable"/>
    <w:sig w:usb0="8000002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191519"/>
      <w:docPartObj>
        <w:docPartGallery w:val="Page Numbers (Bottom of Page)"/>
        <w:docPartUnique/>
      </w:docPartObj>
    </w:sdtPr>
    <w:sdtEndPr>
      <w:rPr>
        <w:color w:val="595959" w:themeColor="text1" w:themeTint="A6"/>
        <w:sz w:val="18"/>
        <w:szCs w:val="18"/>
      </w:rPr>
    </w:sdtEndPr>
    <w:sdtContent>
      <w:p w:rsidR="000B7D55" w:rsidRPr="000B7D55" w:rsidRDefault="000B7D55">
        <w:pPr>
          <w:pStyle w:val="Pieddepage"/>
          <w:jc w:val="center"/>
          <w:rPr>
            <w:color w:val="595959" w:themeColor="text1" w:themeTint="A6"/>
            <w:sz w:val="18"/>
            <w:szCs w:val="18"/>
          </w:rPr>
        </w:pPr>
        <w:r w:rsidRPr="000B7D55">
          <w:rPr>
            <w:color w:val="595959" w:themeColor="text1" w:themeTint="A6"/>
            <w:sz w:val="18"/>
            <w:szCs w:val="18"/>
          </w:rPr>
          <w:fldChar w:fldCharType="begin"/>
        </w:r>
        <w:r w:rsidRPr="000B7D55">
          <w:rPr>
            <w:color w:val="595959" w:themeColor="text1" w:themeTint="A6"/>
            <w:sz w:val="18"/>
            <w:szCs w:val="18"/>
          </w:rPr>
          <w:instrText>PAGE   \* MERGEFORMAT</w:instrText>
        </w:r>
        <w:r w:rsidRPr="000B7D55">
          <w:rPr>
            <w:color w:val="595959" w:themeColor="text1" w:themeTint="A6"/>
            <w:sz w:val="18"/>
            <w:szCs w:val="18"/>
          </w:rPr>
          <w:fldChar w:fldCharType="separate"/>
        </w:r>
        <w:r w:rsidR="00BC10DD" w:rsidRPr="00BC10DD">
          <w:rPr>
            <w:noProof/>
            <w:color w:val="595959" w:themeColor="text1" w:themeTint="A6"/>
            <w:sz w:val="18"/>
            <w:szCs w:val="18"/>
            <w:lang w:val="fr-FR"/>
          </w:rPr>
          <w:t>6</w:t>
        </w:r>
        <w:r w:rsidRPr="000B7D55">
          <w:rPr>
            <w:color w:val="595959" w:themeColor="text1" w:themeTint="A6"/>
            <w:sz w:val="18"/>
            <w:szCs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31F" w:rsidRDefault="003D731F" w:rsidP="003D731F">
    <w:pPr>
      <w:pStyle w:val="Pieddepage"/>
    </w:pPr>
    <w:r>
      <w:rPr>
        <w:noProof/>
        <w:lang w:eastAsia="fr-BE"/>
      </w:rPr>
      <mc:AlternateContent>
        <mc:Choice Requires="wps">
          <w:drawing>
            <wp:anchor distT="0" distB="0" distL="114300" distR="114300" simplePos="0" relativeHeight="251663360" behindDoc="0" locked="0" layoutInCell="1" allowOverlap="1" wp14:anchorId="402B0A17" wp14:editId="4E2EE8B9">
              <wp:simplePos x="0" y="0"/>
              <wp:positionH relativeFrom="column">
                <wp:posOffset>-45858</wp:posOffset>
              </wp:positionH>
              <wp:positionV relativeFrom="paragraph">
                <wp:posOffset>92075</wp:posOffset>
              </wp:positionV>
              <wp:extent cx="5760000" cy="0"/>
              <wp:effectExtent l="0" t="0" r="31750" b="19050"/>
              <wp:wrapNone/>
              <wp:docPr id="1" name="Connecteur droit 1"/>
              <wp:cNvGraphicFramePr/>
              <a:graphic xmlns:a="http://schemas.openxmlformats.org/drawingml/2006/main">
                <a:graphicData uri="http://schemas.microsoft.com/office/word/2010/wordprocessingShape">
                  <wps:wsp>
                    <wps:cNvCnPr/>
                    <wps:spPr>
                      <a:xfrm>
                        <a:off x="0" y="0"/>
                        <a:ext cx="5760000" cy="0"/>
                      </a:xfrm>
                      <a:prstGeom prst="line">
                        <a:avLst/>
                      </a:prstGeom>
                      <a:ln>
                        <a:solidFill>
                          <a:srgbClr val="B0D6F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928E51" id="Connecteur droit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7.25pt" to="449.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" strokecolor="#b0d6f5" strokeweight=".5pt">
              <v:stroke joinstyle="miter"/>
            </v:line>
          </w:pict>
        </mc:Fallback>
      </mc:AlternateContent>
    </w:r>
  </w:p>
  <w:p w:rsidR="003D731F" w:rsidRPr="00FD657B" w:rsidRDefault="003D731F" w:rsidP="003D731F">
    <w:pPr>
      <w:pStyle w:val="Pieddepage"/>
      <w:jc w:val="center"/>
      <w:rPr>
        <w:rStyle w:val="wdyuqq"/>
        <w:color w:val="808080" w:themeColor="background1" w:themeShade="80"/>
        <w:sz w:val="18"/>
        <w:szCs w:val="18"/>
      </w:rPr>
    </w:pPr>
    <w:r w:rsidRPr="00FD657B">
      <w:rPr>
        <w:rStyle w:val="wdyuqq"/>
        <w:color w:val="808080" w:themeColor="background1" w:themeShade="80"/>
        <w:sz w:val="18"/>
        <w:szCs w:val="18"/>
      </w:rPr>
      <w:t xml:space="preserve">ACODEV </w:t>
    </w:r>
    <w:proofErr w:type="spellStart"/>
    <w:r w:rsidRPr="00FD657B">
      <w:rPr>
        <w:rStyle w:val="wdyuqq"/>
        <w:color w:val="808080" w:themeColor="background1" w:themeShade="80"/>
        <w:sz w:val="18"/>
        <w:szCs w:val="18"/>
      </w:rPr>
      <w:t>asbl</w:t>
    </w:r>
    <w:proofErr w:type="spellEnd"/>
  </w:p>
  <w:p w:rsidR="003D731F" w:rsidRDefault="003D731F" w:rsidP="003D731F">
    <w:pPr>
      <w:pStyle w:val="Pieddepage"/>
      <w:jc w:val="center"/>
    </w:pPr>
    <w:r w:rsidRPr="00FD657B">
      <w:rPr>
        <w:rStyle w:val="wdyuqq"/>
        <w:color w:val="808080" w:themeColor="background1" w:themeShade="80"/>
        <w:sz w:val="18"/>
        <w:szCs w:val="18"/>
      </w:rPr>
      <w:t xml:space="preserve">Fédération francophone et germanophone des associations de coopération au développement </w:t>
    </w:r>
    <w:r w:rsidRPr="00FD657B">
      <w:rPr>
        <w:rStyle w:val="wdyuqq"/>
        <w:color w:val="808080" w:themeColor="background1" w:themeShade="80"/>
        <w:sz w:val="18"/>
        <w:szCs w:val="18"/>
      </w:rPr>
      <w:br/>
      <w:t xml:space="preserve">9, Quai du Commerce 1000 Bruxelles - Tél. : +32 (0)2 219 88 55 – </w:t>
    </w:r>
    <w:hyperlink r:id="rId1" w:tgtFrame="_blank" w:history="1">
      <w:r w:rsidRPr="00FD657B">
        <w:rPr>
          <w:rStyle w:val="Lienhypertexte"/>
          <w:color w:val="808080" w:themeColor="background1" w:themeShade="80"/>
          <w:sz w:val="18"/>
          <w:szCs w:val="18"/>
        </w:rPr>
        <w:t>info@acodev.be</w:t>
      </w:r>
    </w:hyperlink>
    <w:r w:rsidRPr="00FD657B">
      <w:rPr>
        <w:rStyle w:val="wdyuqq"/>
        <w:color w:val="808080" w:themeColor="background1" w:themeShade="80"/>
        <w:sz w:val="18"/>
        <w:szCs w:val="18"/>
      </w:rPr>
      <w:t xml:space="preserve"> – </w:t>
    </w:r>
    <w:hyperlink r:id="rId2" w:history="1">
      <w:r w:rsidRPr="00FD657B">
        <w:rPr>
          <w:rStyle w:val="Lienhypertexte"/>
          <w:color w:val="808080" w:themeColor="background1" w:themeShade="80"/>
          <w:sz w:val="18"/>
          <w:szCs w:val="18"/>
        </w:rPr>
        <w:t>www.acodev.be</w:t>
      </w:r>
    </w:hyperlink>
    <w:r w:rsidRPr="00FD657B">
      <w:rPr>
        <w:rStyle w:val="wdyuqq"/>
        <w:color w:val="808080" w:themeColor="background1" w:themeShade="80"/>
        <w:sz w:val="18"/>
        <w:szCs w:val="18"/>
      </w:rPr>
      <w:t xml:space="preserve"> </w:t>
    </w:r>
    <w:r w:rsidRPr="00FD657B">
      <w:rPr>
        <w:rStyle w:val="wdyuqq"/>
        <w:color w:val="808080" w:themeColor="background1" w:themeShade="80"/>
        <w:sz w:val="18"/>
        <w:szCs w:val="18"/>
      </w:rPr>
      <w:br/>
      <w:t>BE0462279234 – RPM de Bruxelles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16A" w:rsidRDefault="00D4716A" w:rsidP="003D731F">
      <w:pPr>
        <w:spacing w:after="0" w:line="240" w:lineRule="auto"/>
      </w:pPr>
      <w:r>
        <w:separator/>
      </w:r>
    </w:p>
  </w:footnote>
  <w:footnote w:type="continuationSeparator" w:id="0">
    <w:p w:rsidR="00D4716A" w:rsidRDefault="00D4716A" w:rsidP="003D7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236"/>
      <w:gridCol w:w="2881"/>
      <w:gridCol w:w="2955"/>
    </w:tblGrid>
    <w:tr w:rsidR="003D731F" w:rsidTr="00684EA5">
      <w:tc>
        <w:tcPr>
          <w:tcW w:w="3236" w:type="dxa"/>
        </w:tcPr>
        <w:p w:rsidR="003D731F" w:rsidRDefault="003D731F" w:rsidP="003D731F">
          <w:pPr>
            <w:pStyle w:val="En-tte"/>
          </w:pPr>
          <w:r>
            <w:rPr>
              <w:noProof/>
              <w:lang w:eastAsia="fr-BE"/>
            </w:rPr>
            <w:drawing>
              <wp:inline distT="0" distB="0" distL="0" distR="0" wp14:anchorId="42CD1EF7" wp14:editId="5229CAC3">
                <wp:extent cx="1782776" cy="77470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doc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2776" cy="774706"/>
                        </a:xfrm>
                        <a:prstGeom prst="rect">
                          <a:avLst/>
                        </a:prstGeom>
                      </pic:spPr>
                    </pic:pic>
                  </a:graphicData>
                </a:graphic>
              </wp:inline>
            </w:drawing>
          </w:r>
        </w:p>
      </w:tc>
      <w:tc>
        <w:tcPr>
          <w:tcW w:w="2881" w:type="dxa"/>
        </w:tcPr>
        <w:p w:rsidR="003D731F" w:rsidRDefault="003D731F" w:rsidP="003D731F">
          <w:pPr>
            <w:pStyle w:val="En-tte"/>
          </w:pPr>
        </w:p>
      </w:tc>
      <w:tc>
        <w:tcPr>
          <w:tcW w:w="2955" w:type="dxa"/>
        </w:tcPr>
        <w:p w:rsidR="003D731F" w:rsidRDefault="003D731F" w:rsidP="003D731F">
          <w:pPr>
            <w:pStyle w:val="En-tte"/>
            <w:jc w:val="right"/>
            <w:rPr>
              <w:rFonts w:ascii="DM Sans" w:hAnsi="DM Sans"/>
              <w:color w:val="FF7D00"/>
              <w:sz w:val="24"/>
              <w:szCs w:val="24"/>
            </w:rPr>
          </w:pPr>
          <w:r w:rsidRPr="00CF545E">
            <w:rPr>
              <w:rFonts w:ascii="DM Sans" w:hAnsi="DM Sans"/>
              <w:color w:val="FF7D00"/>
              <w:sz w:val="24"/>
              <w:szCs w:val="24"/>
            </w:rPr>
            <w:t xml:space="preserve">Ensemble, </w:t>
          </w:r>
        </w:p>
        <w:p w:rsidR="003D731F" w:rsidRDefault="003D731F" w:rsidP="003D731F">
          <w:pPr>
            <w:pStyle w:val="En-tte"/>
            <w:jc w:val="right"/>
            <w:rPr>
              <w:rFonts w:ascii="DM Sans" w:hAnsi="DM Sans"/>
              <w:color w:val="FF7D00"/>
              <w:sz w:val="24"/>
              <w:szCs w:val="24"/>
            </w:rPr>
          </w:pPr>
          <w:proofErr w:type="gramStart"/>
          <w:r w:rsidRPr="00CF545E">
            <w:rPr>
              <w:rFonts w:ascii="DM Sans" w:hAnsi="DM Sans"/>
              <w:color w:val="FF7D00"/>
              <w:sz w:val="24"/>
              <w:szCs w:val="24"/>
            </w:rPr>
            <w:t>au</w:t>
          </w:r>
          <w:proofErr w:type="gramEnd"/>
          <w:r w:rsidRPr="00CF545E">
            <w:rPr>
              <w:rFonts w:ascii="DM Sans" w:hAnsi="DM Sans"/>
              <w:color w:val="FF7D00"/>
              <w:sz w:val="24"/>
              <w:szCs w:val="24"/>
            </w:rPr>
            <w:t xml:space="preserve"> service de </w:t>
          </w:r>
        </w:p>
        <w:p w:rsidR="003D731F" w:rsidRPr="00CF545E" w:rsidRDefault="003D731F" w:rsidP="003D731F">
          <w:pPr>
            <w:pStyle w:val="En-tte"/>
            <w:jc w:val="right"/>
            <w:rPr>
              <w:rFonts w:ascii="DM Sans" w:hAnsi="DM Sans"/>
              <w:sz w:val="24"/>
              <w:szCs w:val="24"/>
            </w:rPr>
          </w:pPr>
          <w:r w:rsidRPr="00CF545E">
            <w:rPr>
              <w:rFonts w:ascii="DM Sans" w:hAnsi="DM Sans"/>
              <w:color w:val="FF7D00"/>
              <w:sz w:val="24"/>
              <w:szCs w:val="24"/>
            </w:rPr>
            <w:t>la solidarité internationale</w:t>
          </w:r>
        </w:p>
      </w:tc>
    </w:tr>
    <w:tr w:rsidR="003D731F" w:rsidTr="00684EA5">
      <w:tc>
        <w:tcPr>
          <w:tcW w:w="3236" w:type="dxa"/>
        </w:tcPr>
        <w:p w:rsidR="003D731F" w:rsidRPr="00CB01D4" w:rsidRDefault="003D731F" w:rsidP="003D731F">
          <w:pPr>
            <w:pStyle w:val="En-tte"/>
            <w:rPr>
              <w:noProof/>
              <w:sz w:val="10"/>
              <w:szCs w:val="10"/>
              <w:lang w:eastAsia="fr-BE"/>
            </w:rPr>
          </w:pPr>
        </w:p>
      </w:tc>
      <w:tc>
        <w:tcPr>
          <w:tcW w:w="2881" w:type="dxa"/>
        </w:tcPr>
        <w:p w:rsidR="003D731F" w:rsidRDefault="003D731F" w:rsidP="003D731F">
          <w:pPr>
            <w:pStyle w:val="En-tte"/>
          </w:pPr>
        </w:p>
      </w:tc>
      <w:tc>
        <w:tcPr>
          <w:tcW w:w="2955" w:type="dxa"/>
        </w:tcPr>
        <w:p w:rsidR="003D731F" w:rsidRPr="00CF545E" w:rsidRDefault="003D731F" w:rsidP="003D731F">
          <w:pPr>
            <w:pStyle w:val="En-tte"/>
            <w:jc w:val="right"/>
            <w:rPr>
              <w:rFonts w:ascii="DM Sans" w:hAnsi="DM Sans"/>
              <w:color w:val="FF7D00"/>
              <w:sz w:val="24"/>
              <w:szCs w:val="24"/>
            </w:rPr>
          </w:pPr>
        </w:p>
      </w:tc>
    </w:tr>
  </w:tbl>
  <w:p w:rsidR="003D731F" w:rsidRDefault="004537CF">
    <w:pPr>
      <w:pStyle w:val="En-tte"/>
    </w:pPr>
    <w:r>
      <w:rPr>
        <w:noProof/>
        <w:lang w:eastAsia="fr-BE"/>
      </w:rPr>
      <mc:AlternateContent>
        <mc:Choice Requires="wps">
          <w:drawing>
            <wp:anchor distT="0" distB="0" distL="114300" distR="114300" simplePos="0" relativeHeight="251665408" behindDoc="0" locked="0" layoutInCell="1" allowOverlap="1" wp14:anchorId="2AFD909E" wp14:editId="5CA1BB97">
              <wp:simplePos x="0" y="0"/>
              <wp:positionH relativeFrom="column">
                <wp:posOffset>-27196</wp:posOffset>
              </wp:positionH>
              <wp:positionV relativeFrom="page">
                <wp:posOffset>1381125</wp:posOffset>
              </wp:positionV>
              <wp:extent cx="5759450" cy="0"/>
              <wp:effectExtent l="0" t="0" r="31750" b="19050"/>
              <wp:wrapNone/>
              <wp:docPr id="2" name="Connecteur droit 2"/>
              <wp:cNvGraphicFramePr/>
              <a:graphic xmlns:a="http://schemas.openxmlformats.org/drawingml/2006/main">
                <a:graphicData uri="http://schemas.microsoft.com/office/word/2010/wordprocessingShape">
                  <wps:wsp>
                    <wps:cNvCnPr/>
                    <wps:spPr>
                      <a:xfrm>
                        <a:off x="0" y="0"/>
                        <a:ext cx="5759450" cy="0"/>
                      </a:xfrm>
                      <a:prstGeom prst="line">
                        <a:avLst/>
                      </a:prstGeom>
                      <a:ln>
                        <a:solidFill>
                          <a:srgbClr val="B0D6F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F0D6BA" id="Connecteur droit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15pt,108.75pt" to="451.35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" strokecolor="#b0d6f5"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1B5"/>
    <w:multiLevelType w:val="hybridMultilevel"/>
    <w:tmpl w:val="170A2CBC"/>
    <w:lvl w:ilvl="0" w:tplc="ECFAEEB4">
      <w:start w:val="3"/>
      <w:numFmt w:val="bullet"/>
      <w:lvlText w:val="-"/>
      <w:lvlJc w:val="left"/>
      <w:pPr>
        <w:ind w:left="720" w:hanging="360"/>
      </w:pPr>
      <w:rPr>
        <w:rFonts w:ascii="Trebuchet MS" w:eastAsia="Arial Unicode MS" w:hAnsi="Trebuchet M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FBA4872"/>
    <w:multiLevelType w:val="hybridMultilevel"/>
    <w:tmpl w:val="E984EE60"/>
    <w:lvl w:ilvl="0" w:tplc="080C0001">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77D12AF"/>
    <w:multiLevelType w:val="hybridMultilevel"/>
    <w:tmpl w:val="492EF152"/>
    <w:lvl w:ilvl="0" w:tplc="080C0001">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 w15:restartNumberingAfterBreak="0">
    <w:nsid w:val="3BD21C27"/>
    <w:multiLevelType w:val="hybridMultilevel"/>
    <w:tmpl w:val="5EC8988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3D81517D"/>
    <w:multiLevelType w:val="hybridMultilevel"/>
    <w:tmpl w:val="FDB49348"/>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 w15:restartNumberingAfterBreak="0">
    <w:nsid w:val="405E0F29"/>
    <w:multiLevelType w:val="multilevel"/>
    <w:tmpl w:val="09763C7E"/>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A95A05"/>
    <w:multiLevelType w:val="hybridMultilevel"/>
    <w:tmpl w:val="A0BCF2A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24F0D69"/>
    <w:multiLevelType w:val="hybridMultilevel"/>
    <w:tmpl w:val="3A10F1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3985B23"/>
    <w:multiLevelType w:val="hybridMultilevel"/>
    <w:tmpl w:val="A76EB2B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C1D0AC6"/>
    <w:multiLevelType w:val="hybridMultilevel"/>
    <w:tmpl w:val="B0E827E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DC46546"/>
    <w:multiLevelType w:val="hybridMultilevel"/>
    <w:tmpl w:val="0FA47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4C15F0C"/>
    <w:multiLevelType w:val="hybridMultilevel"/>
    <w:tmpl w:val="24320DE8"/>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5F3444D"/>
    <w:multiLevelType w:val="hybridMultilevel"/>
    <w:tmpl w:val="FB26993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C9A7367"/>
    <w:multiLevelType w:val="multilevel"/>
    <w:tmpl w:val="09763C7E"/>
    <w:numStyleLink w:val="Style1"/>
  </w:abstractNum>
  <w:num w:numId="1">
    <w:abstractNumId w:val="3"/>
  </w:num>
  <w:num w:numId="2">
    <w:abstractNumId w:val="6"/>
  </w:num>
  <w:num w:numId="3">
    <w:abstractNumId w:val="1"/>
  </w:num>
  <w:num w:numId="4">
    <w:abstractNumId w:val="8"/>
  </w:num>
  <w:num w:numId="5">
    <w:abstractNumId w:val="7"/>
  </w:num>
  <w:num w:numId="6">
    <w:abstractNumId w:val="9"/>
  </w:num>
  <w:num w:numId="7">
    <w:abstractNumId w:val="12"/>
  </w:num>
  <w:num w:numId="8">
    <w:abstractNumId w:val="4"/>
  </w:num>
  <w:num w:numId="9">
    <w:abstractNumId w:val="0"/>
  </w:num>
  <w:num w:numId="10">
    <w:abstractNumId w:val="13"/>
  </w:num>
  <w:num w:numId="11">
    <w:abstractNumId w:val="5"/>
  </w:num>
  <w:num w:numId="12">
    <w:abstractNumId w:val="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1F"/>
    <w:rsid w:val="00044314"/>
    <w:rsid w:val="000B7D55"/>
    <w:rsid w:val="00107E47"/>
    <w:rsid w:val="00186DB4"/>
    <w:rsid w:val="0025764C"/>
    <w:rsid w:val="00336528"/>
    <w:rsid w:val="00343110"/>
    <w:rsid w:val="003D731F"/>
    <w:rsid w:val="00440BA6"/>
    <w:rsid w:val="004537CF"/>
    <w:rsid w:val="00594FE8"/>
    <w:rsid w:val="005A7DAE"/>
    <w:rsid w:val="006B2B2D"/>
    <w:rsid w:val="006C5DFA"/>
    <w:rsid w:val="007F7992"/>
    <w:rsid w:val="00827B7F"/>
    <w:rsid w:val="008648B0"/>
    <w:rsid w:val="00896867"/>
    <w:rsid w:val="009F1BE7"/>
    <w:rsid w:val="00A702A9"/>
    <w:rsid w:val="00AD50C3"/>
    <w:rsid w:val="00AE21EE"/>
    <w:rsid w:val="00AF40C8"/>
    <w:rsid w:val="00B2461D"/>
    <w:rsid w:val="00B660A7"/>
    <w:rsid w:val="00BA2B6C"/>
    <w:rsid w:val="00BA75BE"/>
    <w:rsid w:val="00BC10DD"/>
    <w:rsid w:val="00C25262"/>
    <w:rsid w:val="00CA14D8"/>
    <w:rsid w:val="00CD0A02"/>
    <w:rsid w:val="00CD15F7"/>
    <w:rsid w:val="00CF4A7A"/>
    <w:rsid w:val="00D4716A"/>
    <w:rsid w:val="00D777EE"/>
    <w:rsid w:val="00D917C6"/>
    <w:rsid w:val="00EA3061"/>
    <w:rsid w:val="00EB575A"/>
    <w:rsid w:val="00F575F3"/>
    <w:rsid w:val="00FF1D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CD515F"/>
  <w15:chartTrackingRefBased/>
  <w15:docId w15:val="{EA48D1A4-5B9C-4BA7-8C9C-1EC25FF2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75A"/>
    <w:pPr>
      <w:jc w:val="both"/>
    </w:pPr>
    <w:rPr>
      <w:rFonts w:ascii="Inter" w:hAnsi="Inter"/>
      <w:sz w:val="20"/>
    </w:rPr>
  </w:style>
  <w:style w:type="paragraph" w:styleId="Titre1">
    <w:name w:val="heading 1"/>
    <w:basedOn w:val="Normal"/>
    <w:next w:val="Normal"/>
    <w:link w:val="Titre1Car"/>
    <w:uiPriority w:val="9"/>
    <w:qFormat/>
    <w:rsid w:val="00896867"/>
    <w:pPr>
      <w:outlineLvl w:val="0"/>
    </w:pPr>
    <w:rPr>
      <w:rFonts w:ascii="DM Sans" w:hAnsi="DM Sans"/>
      <w:color w:val="FF7D00"/>
      <w:sz w:val="28"/>
      <w:szCs w:val="32"/>
      <w:lang w:val="fr-FR"/>
    </w:rPr>
  </w:style>
  <w:style w:type="paragraph" w:styleId="Titre2">
    <w:name w:val="heading 2"/>
    <w:basedOn w:val="Normal"/>
    <w:next w:val="Normal"/>
    <w:link w:val="Titre2Car"/>
    <w:uiPriority w:val="9"/>
    <w:unhideWhenUsed/>
    <w:qFormat/>
    <w:rsid w:val="003D731F"/>
    <w:pPr>
      <w:outlineLvl w:val="1"/>
    </w:pPr>
    <w:rPr>
      <w:rFonts w:ascii="DM Sans" w:hAnsi="DM Sans"/>
      <w:color w:val="003347"/>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Titre1"/>
    <w:next w:val="Normal"/>
    <w:link w:val="TitreCar"/>
    <w:uiPriority w:val="10"/>
    <w:qFormat/>
    <w:rsid w:val="003D731F"/>
    <w:pPr>
      <w:jc w:val="center"/>
    </w:pPr>
    <w:rPr>
      <w:color w:val="003347"/>
      <w:sz w:val="32"/>
    </w:rPr>
  </w:style>
  <w:style w:type="character" w:customStyle="1" w:styleId="TitreCar">
    <w:name w:val="Titre Car"/>
    <w:basedOn w:val="Policepardfaut"/>
    <w:link w:val="Titre"/>
    <w:uiPriority w:val="10"/>
    <w:rsid w:val="003D731F"/>
    <w:rPr>
      <w:rFonts w:ascii="DM Sans" w:hAnsi="DM Sans"/>
      <w:color w:val="003347"/>
      <w:sz w:val="32"/>
      <w:szCs w:val="32"/>
      <w:lang w:val="fr-FR"/>
    </w:rPr>
  </w:style>
  <w:style w:type="character" w:customStyle="1" w:styleId="Titre1Car">
    <w:name w:val="Titre 1 Car"/>
    <w:basedOn w:val="Policepardfaut"/>
    <w:link w:val="Titre1"/>
    <w:uiPriority w:val="9"/>
    <w:rsid w:val="00896867"/>
    <w:rPr>
      <w:rFonts w:ascii="DM Sans" w:hAnsi="DM Sans"/>
      <w:color w:val="FF7D00"/>
      <w:sz w:val="28"/>
      <w:szCs w:val="32"/>
      <w:lang w:val="fr-FR"/>
    </w:rPr>
  </w:style>
  <w:style w:type="paragraph" w:styleId="Sansinterligne">
    <w:name w:val="No Spacing"/>
    <w:uiPriority w:val="1"/>
    <w:qFormat/>
    <w:rsid w:val="003D731F"/>
    <w:pPr>
      <w:spacing w:after="0" w:line="240" w:lineRule="auto"/>
    </w:pPr>
  </w:style>
  <w:style w:type="character" w:customStyle="1" w:styleId="Titre2Car">
    <w:name w:val="Titre 2 Car"/>
    <w:basedOn w:val="Policepardfaut"/>
    <w:link w:val="Titre2"/>
    <w:uiPriority w:val="9"/>
    <w:rsid w:val="003D731F"/>
    <w:rPr>
      <w:rFonts w:ascii="DM Sans" w:hAnsi="DM Sans"/>
      <w:color w:val="003347"/>
      <w:sz w:val="24"/>
      <w:szCs w:val="24"/>
    </w:rPr>
  </w:style>
  <w:style w:type="paragraph" w:styleId="En-tte">
    <w:name w:val="header"/>
    <w:basedOn w:val="Normal"/>
    <w:link w:val="En-tteCar"/>
    <w:uiPriority w:val="99"/>
    <w:unhideWhenUsed/>
    <w:rsid w:val="003D731F"/>
    <w:pPr>
      <w:tabs>
        <w:tab w:val="center" w:pos="4536"/>
        <w:tab w:val="right" w:pos="9072"/>
      </w:tabs>
      <w:spacing w:after="0" w:line="240" w:lineRule="auto"/>
    </w:pPr>
  </w:style>
  <w:style w:type="character" w:customStyle="1" w:styleId="En-tteCar">
    <w:name w:val="En-tête Car"/>
    <w:basedOn w:val="Policepardfaut"/>
    <w:link w:val="En-tte"/>
    <w:uiPriority w:val="99"/>
    <w:rsid w:val="003D731F"/>
    <w:rPr>
      <w:rFonts w:ascii="Inter" w:hAnsi="Inter"/>
    </w:rPr>
  </w:style>
  <w:style w:type="paragraph" w:styleId="Pieddepage">
    <w:name w:val="footer"/>
    <w:basedOn w:val="Normal"/>
    <w:link w:val="PieddepageCar"/>
    <w:uiPriority w:val="99"/>
    <w:unhideWhenUsed/>
    <w:rsid w:val="003D73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731F"/>
    <w:rPr>
      <w:rFonts w:ascii="Inter" w:hAnsi="Inter"/>
    </w:rPr>
  </w:style>
  <w:style w:type="table" w:styleId="Grilledutableau">
    <w:name w:val="Table Grid"/>
    <w:basedOn w:val="TableauNormal"/>
    <w:uiPriority w:val="39"/>
    <w:rsid w:val="003D7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dyuqq">
    <w:name w:val="wdyuqq"/>
    <w:basedOn w:val="Policepardfaut"/>
    <w:rsid w:val="003D731F"/>
  </w:style>
  <w:style w:type="character" w:styleId="Lienhypertexte">
    <w:name w:val="Hyperlink"/>
    <w:basedOn w:val="Policepardfaut"/>
    <w:uiPriority w:val="99"/>
    <w:unhideWhenUsed/>
    <w:rsid w:val="003D731F"/>
    <w:rPr>
      <w:color w:val="0000FF"/>
      <w:u w:val="single"/>
    </w:rPr>
  </w:style>
  <w:style w:type="paragraph" w:styleId="Textedebulles">
    <w:name w:val="Balloon Text"/>
    <w:basedOn w:val="Normal"/>
    <w:link w:val="TextedebullesCar"/>
    <w:uiPriority w:val="99"/>
    <w:semiHidden/>
    <w:unhideWhenUsed/>
    <w:rsid w:val="003D73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731F"/>
    <w:rPr>
      <w:rFonts w:ascii="Segoe UI" w:hAnsi="Segoe UI" w:cs="Segoe UI"/>
      <w:sz w:val="18"/>
      <w:szCs w:val="18"/>
    </w:rPr>
  </w:style>
  <w:style w:type="paragraph" w:styleId="Paragraphedeliste">
    <w:name w:val="List Paragraph"/>
    <w:basedOn w:val="Normal"/>
    <w:link w:val="ParagraphedelisteCar"/>
    <w:uiPriority w:val="34"/>
    <w:qFormat/>
    <w:rsid w:val="005A7DAE"/>
    <w:pPr>
      <w:spacing w:after="200" w:line="276" w:lineRule="auto"/>
      <w:ind w:left="720"/>
      <w:contextualSpacing/>
      <w:jc w:val="left"/>
    </w:pPr>
    <w:rPr>
      <w:rFonts w:ascii="Calibri" w:eastAsia="Calibri" w:hAnsi="Calibri" w:cs="Times New Roman"/>
      <w:sz w:val="22"/>
    </w:rPr>
  </w:style>
  <w:style w:type="character" w:customStyle="1" w:styleId="ParagraphedelisteCar">
    <w:name w:val="Paragraphe de liste Car"/>
    <w:basedOn w:val="Policepardfaut"/>
    <w:link w:val="Paragraphedeliste"/>
    <w:uiPriority w:val="34"/>
    <w:rsid w:val="005A7DAE"/>
    <w:rPr>
      <w:rFonts w:ascii="Calibri" w:eastAsia="Calibri" w:hAnsi="Calibri" w:cs="Times New Roman"/>
    </w:rPr>
  </w:style>
  <w:style w:type="numbering" w:customStyle="1" w:styleId="Style1">
    <w:name w:val="Style1"/>
    <w:uiPriority w:val="99"/>
    <w:rsid w:val="00107E4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d@acodev.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odev.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codev.be" TargetMode="External"/><Relationship Id="rId1" Type="http://schemas.openxmlformats.org/officeDocument/2006/relationships/hyperlink" Target="mailto:info@acode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2001</Words>
  <Characters>11007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Pieters</dc:creator>
  <cp:keywords/>
  <dc:description/>
  <cp:lastModifiedBy>Anita Safi Diazila</cp:lastModifiedBy>
  <cp:revision>6</cp:revision>
  <dcterms:created xsi:type="dcterms:W3CDTF">2025-01-20T14:45:00Z</dcterms:created>
  <dcterms:modified xsi:type="dcterms:W3CDTF">2025-01-30T10:29:00Z</dcterms:modified>
</cp:coreProperties>
</file>